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single" w:sz="4" w:space="0" w:color="011893"/>
          <w:left w:val="none" w:sz="0" w:space="0" w:color="auto"/>
          <w:bottom w:val="single" w:sz="4" w:space="0" w:color="011893"/>
          <w:right w:val="none" w:sz="0" w:space="0" w:color="auto"/>
          <w:insideH w:val="none" w:sz="0" w:space="0" w:color="auto"/>
          <w:insideV w:val="none" w:sz="0" w:space="0" w:color="auto"/>
        </w:tblBorders>
        <w:tblLook w:val="04A0" w:firstRow="1" w:lastRow="0" w:firstColumn="1" w:lastColumn="0" w:noHBand="0" w:noVBand="1"/>
      </w:tblPr>
      <w:tblGrid>
        <w:gridCol w:w="1685"/>
        <w:gridCol w:w="8395"/>
      </w:tblGrid>
      <w:tr w:rsidR="006635FF" w:rsidRPr="00BD1187" w14:paraId="7735B73A" w14:textId="77777777" w:rsidTr="00693EF8">
        <w:trPr>
          <w:trHeight w:val="908"/>
        </w:trPr>
        <w:tc>
          <w:tcPr>
            <w:tcW w:w="836" w:type="pct"/>
          </w:tcPr>
          <w:p w14:paraId="4644EEF5" w14:textId="091179BF" w:rsidR="006635FF" w:rsidRPr="00BD1187" w:rsidRDefault="00E76AEB" w:rsidP="00C5612C">
            <w:pPr>
              <w:spacing w:line="276" w:lineRule="auto"/>
              <w:jc w:val="center"/>
              <w:rPr>
                <w:rFonts w:ascii="Merriweather Light" w:hAnsi="Merriweather Light" w:cs="Arial"/>
                <w:color w:val="502D7A"/>
                <w:sz w:val="18"/>
                <w:szCs w:val="18"/>
              </w:rPr>
            </w:pPr>
            <w:r>
              <w:rPr>
                <w:rFonts w:ascii="Merriweather Light" w:hAnsi="Merriweather Light" w:cs="Arial"/>
                <w:noProof/>
                <w:color w:val="502D7A"/>
                <w:sz w:val="18"/>
                <w:szCs w:val="18"/>
                <w:lang w:eastAsia="en-US"/>
              </w:rPr>
              <w:drawing>
                <wp:anchor distT="0" distB="0" distL="114300" distR="114300" simplePos="0" relativeHeight="251679744" behindDoc="0" locked="0" layoutInCell="1" allowOverlap="1" wp14:anchorId="3E901847" wp14:editId="5AF8C881">
                  <wp:simplePos x="0" y="0"/>
                  <wp:positionH relativeFrom="column">
                    <wp:posOffset>-22860</wp:posOffset>
                  </wp:positionH>
                  <wp:positionV relativeFrom="paragraph">
                    <wp:posOffset>24130</wp:posOffset>
                  </wp:positionV>
                  <wp:extent cx="904138" cy="4699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SSR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138" cy="469900"/>
                          </a:xfrm>
                          <a:prstGeom prst="rect">
                            <a:avLst/>
                          </a:prstGeom>
                        </pic:spPr>
                      </pic:pic>
                    </a:graphicData>
                  </a:graphic>
                  <wp14:sizeRelH relativeFrom="page">
                    <wp14:pctWidth>0</wp14:pctWidth>
                  </wp14:sizeRelH>
                  <wp14:sizeRelV relativeFrom="page">
                    <wp14:pctHeight>0</wp14:pctHeight>
                  </wp14:sizeRelV>
                </wp:anchor>
              </w:drawing>
            </w:r>
          </w:p>
        </w:tc>
        <w:tc>
          <w:tcPr>
            <w:tcW w:w="4164" w:type="pct"/>
            <w:shd w:val="clear" w:color="auto" w:fill="DEEAF6"/>
            <w:vAlign w:val="center"/>
          </w:tcPr>
          <w:p w14:paraId="5D8FF84E" w14:textId="68EC9D5D" w:rsidR="006635FF" w:rsidRPr="00B55273" w:rsidRDefault="002170D9" w:rsidP="00693EF8">
            <w:pPr>
              <w:spacing w:before="120" w:after="120" w:line="276" w:lineRule="auto"/>
              <w:jc w:val="center"/>
              <w:rPr>
                <w:rFonts w:ascii="Merriweather" w:hAnsi="Merriweather" w:cs="Arial"/>
                <w:b/>
                <w:bCs/>
                <w:color w:val="011893"/>
                <w:szCs w:val="21"/>
              </w:rPr>
            </w:pPr>
            <w:r w:rsidRPr="002170D9">
              <w:rPr>
                <w:rFonts w:ascii="Merriweather" w:hAnsi="Merriweather" w:cs="Arial"/>
                <w:b/>
                <w:bCs/>
                <w:color w:val="011893"/>
                <w:szCs w:val="21"/>
              </w:rPr>
              <w:t>Contribution of Social Media towards Corporate Financial Performance: Mediating Role of CSR Communication Factors</w:t>
            </w:r>
          </w:p>
        </w:tc>
      </w:tr>
    </w:tbl>
    <w:p w14:paraId="03E19F3A" w14:textId="34C873DB" w:rsidR="00224612" w:rsidRPr="00BD1187" w:rsidRDefault="00224612" w:rsidP="00C5612C">
      <w:pPr>
        <w:spacing w:line="276" w:lineRule="auto"/>
        <w:jc w:val="center"/>
        <w:rPr>
          <w:rFonts w:ascii="Merriweather Light" w:hAnsi="Merriweather Light" w:cs="Arial"/>
          <w:color w:val="502D7A"/>
          <w:sz w:val="18"/>
          <w:szCs w:val="18"/>
        </w:rPr>
      </w:pPr>
    </w:p>
    <w:tbl>
      <w:tblPr>
        <w:tblStyle w:val="TableGrid"/>
        <w:tblW w:w="5000" w:type="pct"/>
        <w:tblBorders>
          <w:top w:val="single" w:sz="4" w:space="0" w:color="011893"/>
          <w:left w:val="none" w:sz="0" w:space="0" w:color="auto"/>
          <w:bottom w:val="single" w:sz="4" w:space="0" w:color="011893"/>
          <w:right w:val="none" w:sz="0" w:space="0" w:color="auto"/>
          <w:insideH w:val="none" w:sz="0" w:space="0" w:color="auto"/>
          <w:insideV w:val="none" w:sz="0" w:space="0" w:color="auto"/>
        </w:tblBorders>
        <w:tblLook w:val="04A0" w:firstRow="1" w:lastRow="0" w:firstColumn="1" w:lastColumn="0" w:noHBand="0" w:noVBand="1"/>
      </w:tblPr>
      <w:tblGrid>
        <w:gridCol w:w="2387"/>
        <w:gridCol w:w="276"/>
        <w:gridCol w:w="7417"/>
      </w:tblGrid>
      <w:tr w:rsidR="00E24FAF" w:rsidRPr="00BD1187" w14:paraId="09DDA3CF" w14:textId="77777777" w:rsidTr="00E24FAF">
        <w:trPr>
          <w:trHeight w:val="404"/>
        </w:trPr>
        <w:tc>
          <w:tcPr>
            <w:tcW w:w="1184" w:type="pct"/>
            <w:shd w:val="clear" w:color="auto" w:fill="F2F2F2" w:themeFill="background1" w:themeFillShade="F2"/>
            <w:vAlign w:val="center"/>
          </w:tcPr>
          <w:p w14:paraId="2341CDC4" w14:textId="15E53554" w:rsidR="00E24FAF" w:rsidRPr="00E24FAF" w:rsidRDefault="007428B3" w:rsidP="00E24FAF">
            <w:pPr>
              <w:spacing w:before="30" w:after="30" w:line="276" w:lineRule="auto"/>
              <w:rPr>
                <w:rFonts w:ascii="Merriweather Light" w:hAnsi="Merriweather Light" w:cs="Arial"/>
                <w:color w:val="000000" w:themeColor="text1"/>
                <w:sz w:val="18"/>
                <w:szCs w:val="18"/>
              </w:rPr>
            </w:pPr>
            <w:proofErr w:type="spellStart"/>
            <w:r w:rsidRPr="007428B3">
              <w:rPr>
                <w:rFonts w:ascii="Merriweather Light" w:hAnsi="Merriweather Light" w:cs="Arial"/>
                <w:color w:val="000000" w:themeColor="text1"/>
                <w:sz w:val="18"/>
                <w:szCs w:val="18"/>
              </w:rPr>
              <w:t>Faiza</w:t>
            </w:r>
            <w:proofErr w:type="spellEnd"/>
            <w:r w:rsidRPr="007428B3">
              <w:rPr>
                <w:rFonts w:ascii="Merriweather Light" w:hAnsi="Merriweather Light" w:cs="Arial"/>
                <w:color w:val="000000" w:themeColor="text1"/>
                <w:sz w:val="18"/>
                <w:szCs w:val="18"/>
              </w:rPr>
              <w:t xml:space="preserve"> Hashmi</w:t>
            </w:r>
          </w:p>
        </w:tc>
        <w:tc>
          <w:tcPr>
            <w:tcW w:w="137" w:type="pct"/>
            <w:shd w:val="clear" w:color="auto" w:fill="FFFFFF" w:themeFill="background1"/>
          </w:tcPr>
          <w:p w14:paraId="2E7F95DF" w14:textId="125C024C" w:rsidR="00E24FAF" w:rsidRPr="00BD1187" w:rsidRDefault="00E24FAF" w:rsidP="00E24FAF">
            <w:pPr>
              <w:spacing w:before="30" w:after="30" w:line="276" w:lineRule="auto"/>
              <w:jc w:val="center"/>
              <w:rPr>
                <w:rFonts w:ascii="Merriweather Light" w:hAnsi="Merriweather Light" w:cs="Arial"/>
                <w:color w:val="502D7A"/>
                <w:sz w:val="18"/>
                <w:szCs w:val="18"/>
              </w:rPr>
            </w:pPr>
          </w:p>
        </w:tc>
        <w:tc>
          <w:tcPr>
            <w:tcW w:w="3679" w:type="pct"/>
            <w:shd w:val="clear" w:color="auto" w:fill="FFFFFF" w:themeFill="background1"/>
            <w:vAlign w:val="center"/>
          </w:tcPr>
          <w:p w14:paraId="3452EF9F" w14:textId="3A64DB3B" w:rsidR="00E24FAF" w:rsidRPr="00F44672" w:rsidRDefault="007428B3" w:rsidP="00E24FAF">
            <w:pPr>
              <w:spacing w:before="30" w:after="30" w:line="276" w:lineRule="auto"/>
              <w:rPr>
                <w:rFonts w:ascii="Merriweather Light" w:hAnsi="Merriweather Light" w:cs="Arial"/>
                <w:color w:val="000000" w:themeColor="text1"/>
                <w:sz w:val="18"/>
                <w:szCs w:val="18"/>
              </w:rPr>
            </w:pPr>
            <w:r w:rsidRPr="007428B3">
              <w:rPr>
                <w:rFonts w:ascii="Merriweather Light" w:hAnsi="Merriweather Light" w:cs="Arial"/>
                <w:color w:val="000000" w:themeColor="text1"/>
                <w:sz w:val="18"/>
                <w:szCs w:val="18"/>
              </w:rPr>
              <w:t xml:space="preserve">Institute of Business Management and Administrative Sciences, The </w:t>
            </w:r>
            <w:proofErr w:type="spellStart"/>
            <w:r w:rsidRPr="007428B3">
              <w:rPr>
                <w:rFonts w:ascii="Merriweather Light" w:hAnsi="Merriweather Light" w:cs="Arial"/>
                <w:color w:val="000000" w:themeColor="text1"/>
                <w:sz w:val="18"/>
                <w:szCs w:val="18"/>
              </w:rPr>
              <w:t>Islamia</w:t>
            </w:r>
            <w:proofErr w:type="spellEnd"/>
            <w:r w:rsidRPr="007428B3">
              <w:rPr>
                <w:rFonts w:ascii="Merriweather Light" w:hAnsi="Merriweather Light" w:cs="Arial"/>
                <w:color w:val="000000" w:themeColor="text1"/>
                <w:sz w:val="18"/>
                <w:szCs w:val="18"/>
              </w:rPr>
              <w:t xml:space="preserve"> University of Bahawalpur</w:t>
            </w:r>
            <w:r>
              <w:rPr>
                <w:rFonts w:ascii="Merriweather Light" w:hAnsi="Merriweather Light" w:cs="Arial"/>
                <w:color w:val="000000" w:themeColor="text1"/>
                <w:sz w:val="18"/>
                <w:szCs w:val="18"/>
              </w:rPr>
              <w:t>, Bahawalpur, Punjab, Pakistan.</w:t>
            </w:r>
          </w:p>
        </w:tc>
      </w:tr>
      <w:tr w:rsidR="00E24FAF" w:rsidRPr="00BD1187" w14:paraId="0943C5DA" w14:textId="77777777" w:rsidTr="00E24FAF">
        <w:trPr>
          <w:trHeight w:val="441"/>
        </w:trPr>
        <w:tc>
          <w:tcPr>
            <w:tcW w:w="1184" w:type="pct"/>
            <w:shd w:val="clear" w:color="auto" w:fill="F2F2F2" w:themeFill="background1" w:themeFillShade="F2"/>
            <w:vAlign w:val="center"/>
          </w:tcPr>
          <w:p w14:paraId="334BCE4E" w14:textId="5E2A65AA" w:rsidR="00E24FAF" w:rsidRPr="002A5977" w:rsidRDefault="007428B3" w:rsidP="00672F0B">
            <w:pPr>
              <w:spacing w:before="30" w:after="30" w:line="276" w:lineRule="auto"/>
              <w:rPr>
                <w:rFonts w:ascii="Merriweather Light" w:hAnsi="Merriweather Light" w:cs="Arial"/>
                <w:color w:val="000000" w:themeColor="text1"/>
                <w:sz w:val="18"/>
                <w:szCs w:val="18"/>
              </w:rPr>
            </w:pPr>
            <w:proofErr w:type="spellStart"/>
            <w:r w:rsidRPr="007428B3">
              <w:rPr>
                <w:rFonts w:ascii="Merriweather Light" w:hAnsi="Merriweather Light" w:cs="Arial"/>
                <w:color w:val="000000" w:themeColor="text1"/>
                <w:sz w:val="18"/>
                <w:szCs w:val="18"/>
              </w:rPr>
              <w:t>Waseem</w:t>
            </w:r>
            <w:proofErr w:type="spellEnd"/>
            <w:r w:rsidRPr="007428B3">
              <w:rPr>
                <w:rFonts w:ascii="Merriweather Light" w:hAnsi="Merriweather Light" w:cs="Arial"/>
                <w:color w:val="000000" w:themeColor="text1"/>
                <w:sz w:val="18"/>
                <w:szCs w:val="18"/>
              </w:rPr>
              <w:t xml:space="preserve"> </w:t>
            </w:r>
            <w:proofErr w:type="spellStart"/>
            <w:r w:rsidR="00672F0B">
              <w:rPr>
                <w:rFonts w:ascii="Merriweather Light" w:hAnsi="Merriweather Light" w:cs="Arial"/>
                <w:color w:val="000000" w:themeColor="text1"/>
                <w:sz w:val="18"/>
                <w:szCs w:val="18"/>
              </w:rPr>
              <w:t>U</w:t>
            </w:r>
            <w:r w:rsidRPr="007428B3">
              <w:rPr>
                <w:rFonts w:ascii="Merriweather Light" w:hAnsi="Merriweather Light" w:cs="Arial"/>
                <w:color w:val="000000" w:themeColor="text1"/>
                <w:sz w:val="18"/>
                <w:szCs w:val="18"/>
              </w:rPr>
              <w:t>l</w:t>
            </w:r>
            <w:proofErr w:type="spellEnd"/>
            <w:r w:rsidRPr="007428B3">
              <w:rPr>
                <w:rFonts w:ascii="Merriweather Light" w:hAnsi="Merriweather Light" w:cs="Arial"/>
                <w:color w:val="000000" w:themeColor="text1"/>
                <w:sz w:val="18"/>
                <w:szCs w:val="18"/>
              </w:rPr>
              <w:t xml:space="preserve"> Hameed</w:t>
            </w:r>
          </w:p>
        </w:tc>
        <w:tc>
          <w:tcPr>
            <w:tcW w:w="137" w:type="pct"/>
            <w:shd w:val="clear" w:color="auto" w:fill="FFFFFF" w:themeFill="background1"/>
          </w:tcPr>
          <w:p w14:paraId="7E364DF7" w14:textId="77777777" w:rsidR="00E24FAF" w:rsidRPr="00BD1187" w:rsidRDefault="00E24FAF" w:rsidP="00E24FAF">
            <w:pPr>
              <w:spacing w:before="30" w:after="30" w:line="276" w:lineRule="auto"/>
              <w:jc w:val="center"/>
              <w:rPr>
                <w:rFonts w:ascii="Merriweather Light" w:hAnsi="Merriweather Light" w:cs="Arial"/>
                <w:color w:val="502D7A"/>
                <w:sz w:val="18"/>
                <w:szCs w:val="18"/>
              </w:rPr>
            </w:pPr>
          </w:p>
        </w:tc>
        <w:tc>
          <w:tcPr>
            <w:tcW w:w="3679" w:type="pct"/>
            <w:shd w:val="clear" w:color="auto" w:fill="FFFFFF" w:themeFill="background1"/>
            <w:vAlign w:val="center"/>
          </w:tcPr>
          <w:p w14:paraId="0459EF73" w14:textId="399DB8EA" w:rsidR="00E24FAF" w:rsidRPr="00F44672" w:rsidRDefault="007428B3" w:rsidP="00E24FAF">
            <w:pPr>
              <w:spacing w:before="30" w:after="30" w:line="276" w:lineRule="auto"/>
              <w:rPr>
                <w:rFonts w:ascii="Merriweather Light" w:hAnsi="Merriweather Light" w:cs="Arial"/>
                <w:color w:val="000000" w:themeColor="text1"/>
                <w:sz w:val="18"/>
                <w:szCs w:val="18"/>
              </w:rPr>
            </w:pPr>
            <w:r w:rsidRPr="007428B3">
              <w:rPr>
                <w:rFonts w:ascii="Merriweather Light" w:hAnsi="Merriweather Light" w:cs="Arial"/>
                <w:color w:val="000000" w:themeColor="text1"/>
                <w:sz w:val="18"/>
                <w:szCs w:val="18"/>
              </w:rPr>
              <w:t xml:space="preserve">Department of Islamic &amp; Conventional Banking, Institute of Business Management and Administrative Sciences, </w:t>
            </w:r>
            <w:r>
              <w:rPr>
                <w:rFonts w:ascii="Merriweather Light" w:hAnsi="Merriweather Light" w:cs="Arial"/>
                <w:color w:val="000000" w:themeColor="text1"/>
                <w:sz w:val="18"/>
                <w:szCs w:val="18"/>
              </w:rPr>
              <w:t xml:space="preserve">The </w:t>
            </w:r>
            <w:proofErr w:type="spellStart"/>
            <w:r w:rsidRPr="007428B3">
              <w:rPr>
                <w:rFonts w:ascii="Merriweather Light" w:hAnsi="Merriweather Light" w:cs="Arial"/>
                <w:color w:val="000000" w:themeColor="text1"/>
                <w:sz w:val="18"/>
                <w:szCs w:val="18"/>
              </w:rPr>
              <w:t>Islamia</w:t>
            </w:r>
            <w:proofErr w:type="spellEnd"/>
            <w:r w:rsidRPr="007428B3">
              <w:rPr>
                <w:rFonts w:ascii="Merriweather Light" w:hAnsi="Merriweather Light" w:cs="Arial"/>
                <w:color w:val="000000" w:themeColor="text1"/>
                <w:sz w:val="18"/>
                <w:szCs w:val="18"/>
              </w:rPr>
              <w:t xml:space="preserve"> University of Bahawalpur</w:t>
            </w:r>
            <w:r>
              <w:rPr>
                <w:rFonts w:ascii="Merriweather Light" w:hAnsi="Merriweather Light" w:cs="Arial"/>
                <w:color w:val="000000" w:themeColor="text1"/>
                <w:sz w:val="18"/>
                <w:szCs w:val="18"/>
              </w:rPr>
              <w:t>, Bahawalpur, Punjab, Pakistan.</w:t>
            </w:r>
          </w:p>
        </w:tc>
      </w:tr>
    </w:tbl>
    <w:p w14:paraId="0734292E" w14:textId="19A9BA1D" w:rsidR="00AB2C90" w:rsidRPr="00BD1187" w:rsidRDefault="00AB2C90" w:rsidP="00C5612C">
      <w:pPr>
        <w:spacing w:before="120" w:line="276" w:lineRule="auto"/>
        <w:jc w:val="both"/>
        <w:rPr>
          <w:rFonts w:ascii="Merriweather Light" w:hAnsi="Merriweather Light" w:cs="Arial"/>
          <w:i/>
          <w:iCs/>
          <w:color w:val="000000" w:themeColor="text1"/>
          <w:sz w:val="18"/>
          <w:szCs w:val="18"/>
        </w:rPr>
      </w:pPr>
    </w:p>
    <w:tbl>
      <w:tblPr>
        <w:tblStyle w:val="TableGrid"/>
        <w:tblW w:w="0" w:type="auto"/>
        <w:tblBorders>
          <w:top w:val="single" w:sz="4" w:space="0" w:color="011893"/>
          <w:left w:val="none" w:sz="0" w:space="0" w:color="auto"/>
          <w:bottom w:val="single" w:sz="4" w:space="0" w:color="011893"/>
          <w:right w:val="none" w:sz="0" w:space="0" w:color="auto"/>
          <w:insideH w:val="none" w:sz="0" w:space="0" w:color="auto"/>
          <w:insideV w:val="none" w:sz="0" w:space="0" w:color="auto"/>
        </w:tblBorders>
        <w:tblLook w:val="04A0" w:firstRow="1" w:lastRow="0" w:firstColumn="1" w:lastColumn="0" w:noHBand="0" w:noVBand="1"/>
      </w:tblPr>
      <w:tblGrid>
        <w:gridCol w:w="3600"/>
        <w:gridCol w:w="270"/>
        <w:gridCol w:w="5998"/>
      </w:tblGrid>
      <w:tr w:rsidR="00640F62" w:rsidRPr="00BD1187" w14:paraId="6AE77F51" w14:textId="77777777" w:rsidTr="00F44672">
        <w:tc>
          <w:tcPr>
            <w:tcW w:w="3600" w:type="dxa"/>
          </w:tcPr>
          <w:p w14:paraId="25C52D14" w14:textId="58038823" w:rsidR="00640F62" w:rsidRPr="00E76AEB" w:rsidRDefault="00640F62" w:rsidP="00640F62">
            <w:pPr>
              <w:spacing w:before="60" w:line="276" w:lineRule="auto"/>
              <w:jc w:val="both"/>
              <w:rPr>
                <w:rFonts w:ascii="Merriweather" w:hAnsi="Merriweather" w:cs="Arial"/>
                <w:i/>
                <w:iCs/>
                <w:color w:val="000000" w:themeColor="text1"/>
                <w:sz w:val="18"/>
                <w:szCs w:val="18"/>
              </w:rPr>
            </w:pPr>
            <w:r w:rsidRPr="00E76AEB">
              <w:rPr>
                <w:rFonts w:ascii="Merriweather" w:hAnsi="Merriweather"/>
                <w:b/>
                <w:bCs/>
                <w:color w:val="011893"/>
                <w:sz w:val="18"/>
                <w:szCs w:val="18"/>
              </w:rPr>
              <w:t>Vol.</w:t>
            </w:r>
            <w:r w:rsidRPr="00E76AEB">
              <w:rPr>
                <w:rFonts w:ascii="Merriweather" w:hAnsi="Merriweather"/>
                <w:color w:val="011893"/>
                <w:sz w:val="18"/>
                <w:szCs w:val="18"/>
              </w:rPr>
              <w:t xml:space="preserve"> </w:t>
            </w:r>
            <w:r>
              <w:rPr>
                <w:rFonts w:ascii="Merriweather" w:hAnsi="Merriweather"/>
                <w:sz w:val="18"/>
                <w:szCs w:val="18"/>
              </w:rPr>
              <w:t>2</w:t>
            </w:r>
            <w:r w:rsidRPr="00E76AEB">
              <w:rPr>
                <w:rFonts w:ascii="Merriweather" w:hAnsi="Merriweather"/>
                <w:sz w:val="18"/>
                <w:szCs w:val="18"/>
              </w:rPr>
              <w:t xml:space="preserve">, </w:t>
            </w:r>
            <w:r w:rsidRPr="00E76AEB">
              <w:rPr>
                <w:rFonts w:ascii="Merriweather" w:hAnsi="Merriweather"/>
                <w:b/>
                <w:bCs/>
                <w:color w:val="011893"/>
                <w:sz w:val="18"/>
                <w:szCs w:val="18"/>
              </w:rPr>
              <w:t>No.</w:t>
            </w:r>
            <w:r w:rsidRPr="00E76AEB">
              <w:rPr>
                <w:rFonts w:ascii="Merriweather" w:hAnsi="Merriweather"/>
                <w:color w:val="011893"/>
                <w:sz w:val="18"/>
                <w:szCs w:val="18"/>
              </w:rPr>
              <w:t xml:space="preserve"> </w:t>
            </w:r>
            <w:r>
              <w:rPr>
                <w:rFonts w:ascii="Merriweather" w:hAnsi="Merriweather"/>
                <w:sz w:val="18"/>
                <w:szCs w:val="18"/>
              </w:rPr>
              <w:t>4</w:t>
            </w:r>
            <w:r w:rsidRPr="00E76AEB">
              <w:rPr>
                <w:rFonts w:ascii="Merriweather" w:hAnsi="Merriweather"/>
                <w:sz w:val="18"/>
                <w:szCs w:val="18"/>
              </w:rPr>
              <w:t xml:space="preserve"> (</w:t>
            </w:r>
            <w:r>
              <w:rPr>
                <w:rFonts w:ascii="Merriweather" w:hAnsi="Merriweather"/>
                <w:sz w:val="18"/>
                <w:szCs w:val="18"/>
              </w:rPr>
              <w:t>Fall</w:t>
            </w:r>
            <w:r w:rsidRPr="00E76AEB">
              <w:rPr>
                <w:rFonts w:ascii="Merriweather" w:hAnsi="Merriweather"/>
                <w:sz w:val="18"/>
                <w:szCs w:val="18"/>
              </w:rPr>
              <w:t xml:space="preserve"> 2022)</w:t>
            </w:r>
          </w:p>
        </w:tc>
        <w:tc>
          <w:tcPr>
            <w:tcW w:w="270" w:type="dxa"/>
            <w:vMerge w:val="restart"/>
          </w:tcPr>
          <w:p w14:paraId="185F29B7" w14:textId="77777777" w:rsidR="00640F62" w:rsidRPr="00BD1187" w:rsidRDefault="00640F62" w:rsidP="00C5612C">
            <w:pPr>
              <w:spacing w:before="120" w:line="276" w:lineRule="auto"/>
              <w:jc w:val="both"/>
              <w:rPr>
                <w:rFonts w:ascii="Merriweather Light" w:hAnsi="Merriweather Light" w:cs="Arial"/>
                <w:i/>
                <w:iCs/>
                <w:color w:val="000000" w:themeColor="text1"/>
                <w:sz w:val="18"/>
                <w:szCs w:val="18"/>
              </w:rPr>
            </w:pPr>
          </w:p>
        </w:tc>
        <w:tc>
          <w:tcPr>
            <w:tcW w:w="5998" w:type="dxa"/>
            <w:vMerge w:val="restart"/>
            <w:shd w:val="clear" w:color="auto" w:fill="DEEAF6"/>
          </w:tcPr>
          <w:p w14:paraId="15D015F8" w14:textId="4E9A17B6" w:rsidR="00640F62" w:rsidRPr="0006591B" w:rsidRDefault="00640F62" w:rsidP="00640F62">
            <w:pPr>
              <w:spacing w:before="120"/>
              <w:jc w:val="both"/>
              <w:rPr>
                <w:rFonts w:ascii="Merriweather Light" w:hAnsi="Merriweather Light" w:cs="Arial"/>
                <w:i/>
                <w:iCs/>
                <w:color w:val="000000" w:themeColor="text1"/>
                <w:sz w:val="17"/>
                <w:szCs w:val="17"/>
              </w:rPr>
            </w:pPr>
            <w:r w:rsidRPr="00F44672">
              <w:rPr>
                <w:rFonts w:ascii="Merriweather Light" w:hAnsi="Merriweather Light" w:cs="Arial"/>
                <w:b/>
                <w:bCs/>
                <w:color w:val="011793"/>
                <w:sz w:val="17"/>
                <w:szCs w:val="17"/>
              </w:rPr>
              <w:t xml:space="preserve">Abstract: </w:t>
            </w:r>
            <w:r w:rsidR="00D475E2" w:rsidRPr="00D475E2">
              <w:rPr>
                <w:rFonts w:ascii="Merriweather Light" w:hAnsi="Merriweather Light" w:cs="Arial"/>
                <w:i/>
                <w:iCs/>
                <w:color w:val="000000" w:themeColor="text1"/>
                <w:sz w:val="17"/>
                <w:szCs w:val="17"/>
              </w:rPr>
              <w:t>CSR, or corporate social responsibility, is a passionately contested issue in academic and business circles due to its potential influence on a company's public image and financial performance. CSR communication is more than simply good manners, which is critical to the success of the telecommunications business. To fully grasp the significance of CSR communication elements, it is vital to realize that CSR must be included in any new company items or services. The study is conducted to examine the role of social media on CSR communication factors and to investigate the role of CSR communication factors on corporate financial performance. The analysis is confined to Pakistan's telecommunications industry. Pakistan's telecom business is dominated by four main companies: PTCL/</w:t>
            </w:r>
            <w:proofErr w:type="spellStart"/>
            <w:r w:rsidR="00D475E2" w:rsidRPr="00D475E2">
              <w:rPr>
                <w:rFonts w:ascii="Merriweather Light" w:hAnsi="Merriweather Light" w:cs="Arial"/>
                <w:i/>
                <w:iCs/>
                <w:color w:val="000000" w:themeColor="text1"/>
                <w:sz w:val="17"/>
                <w:szCs w:val="17"/>
              </w:rPr>
              <w:t>Ufone</w:t>
            </w:r>
            <w:proofErr w:type="spellEnd"/>
            <w:r w:rsidR="00D475E2" w:rsidRPr="00D475E2">
              <w:rPr>
                <w:rFonts w:ascii="Merriweather Light" w:hAnsi="Merriweather Light" w:cs="Arial"/>
                <w:i/>
                <w:iCs/>
                <w:color w:val="000000" w:themeColor="text1"/>
                <w:sz w:val="17"/>
                <w:szCs w:val="17"/>
              </w:rPr>
              <w:t xml:space="preserve">, Jazz, Telenor, and </w:t>
            </w:r>
            <w:proofErr w:type="spellStart"/>
            <w:r w:rsidR="00D475E2" w:rsidRPr="00D475E2">
              <w:rPr>
                <w:rFonts w:ascii="Merriweather Light" w:hAnsi="Merriweather Light" w:cs="Arial"/>
                <w:i/>
                <w:iCs/>
                <w:color w:val="000000" w:themeColor="text1"/>
                <w:sz w:val="17"/>
                <w:szCs w:val="17"/>
              </w:rPr>
              <w:t>Zong</w:t>
            </w:r>
            <w:proofErr w:type="spellEnd"/>
            <w:r w:rsidR="00D475E2" w:rsidRPr="00D475E2">
              <w:rPr>
                <w:rFonts w:ascii="Merriweather Light" w:hAnsi="Merriweather Light" w:cs="Arial"/>
                <w:i/>
                <w:iCs/>
                <w:color w:val="000000" w:themeColor="text1"/>
                <w:sz w:val="17"/>
                <w:szCs w:val="17"/>
              </w:rPr>
              <w:t>. Employees from the CSR department were chosen for the research. This study's conclusions advocate for online organizations that use social media. This research contributes to online discussion forums, which is essential since it demonstrates how some communication components rely on these platforms. The findings of this study recommend online groups that utilize social media.</w:t>
            </w:r>
          </w:p>
        </w:tc>
      </w:tr>
      <w:tr w:rsidR="00640F62" w:rsidRPr="00BD1187" w14:paraId="29AD7A22" w14:textId="77777777" w:rsidTr="00F44672">
        <w:tc>
          <w:tcPr>
            <w:tcW w:w="3600" w:type="dxa"/>
          </w:tcPr>
          <w:p w14:paraId="6C1C4218" w14:textId="1372EA81" w:rsidR="00640F62" w:rsidRPr="00E76AEB" w:rsidRDefault="00640F62" w:rsidP="00DB367D">
            <w:pPr>
              <w:spacing w:before="60" w:line="276" w:lineRule="auto"/>
              <w:jc w:val="both"/>
              <w:rPr>
                <w:rFonts w:ascii="Merriweather" w:hAnsi="Merriweather" w:cs="Arial"/>
                <w:i/>
                <w:iCs/>
                <w:color w:val="000000" w:themeColor="text1"/>
                <w:sz w:val="18"/>
                <w:szCs w:val="18"/>
              </w:rPr>
            </w:pPr>
            <w:r w:rsidRPr="00E76AEB">
              <w:rPr>
                <w:rFonts w:ascii="Merriweather" w:hAnsi="Merriweather"/>
                <w:b/>
                <w:bCs/>
                <w:color w:val="011893"/>
                <w:sz w:val="18"/>
                <w:szCs w:val="18"/>
              </w:rPr>
              <w:t>Pages:</w:t>
            </w:r>
            <w:r w:rsidRPr="00E76AEB">
              <w:rPr>
                <w:rFonts w:ascii="Merriweather" w:hAnsi="Merriweather"/>
                <w:color w:val="011893"/>
                <w:sz w:val="18"/>
                <w:szCs w:val="18"/>
              </w:rPr>
              <w:t xml:space="preserve"> </w:t>
            </w:r>
            <w:r w:rsidR="00E94D42">
              <w:rPr>
                <w:rFonts w:ascii="Merriweather" w:hAnsi="Merriweather"/>
                <w:color w:val="000000" w:themeColor="text1"/>
                <w:sz w:val="18"/>
                <w:szCs w:val="18"/>
              </w:rPr>
              <w:t>78</w:t>
            </w:r>
            <w:r w:rsidR="00E94D42" w:rsidRPr="00E76AEB">
              <w:rPr>
                <w:rFonts w:ascii="Merriweather" w:hAnsi="Merriweather"/>
                <w:color w:val="000000" w:themeColor="text1"/>
                <w:sz w:val="18"/>
                <w:szCs w:val="18"/>
              </w:rPr>
              <w:t xml:space="preserve"> </w:t>
            </w:r>
            <w:r w:rsidRPr="00E76AEB">
              <w:rPr>
                <w:rFonts w:ascii="Merriweather" w:hAnsi="Merriweather"/>
                <w:color w:val="000000" w:themeColor="text1"/>
                <w:sz w:val="18"/>
                <w:szCs w:val="18"/>
              </w:rPr>
              <w:t xml:space="preserve">– </w:t>
            </w:r>
            <w:r w:rsidR="00E91E3D">
              <w:rPr>
                <w:rFonts w:ascii="Merriweather" w:hAnsi="Merriweather"/>
                <w:color w:val="000000" w:themeColor="text1"/>
                <w:sz w:val="18"/>
                <w:szCs w:val="18"/>
              </w:rPr>
              <w:t>8</w:t>
            </w:r>
            <w:r w:rsidR="00DB367D">
              <w:rPr>
                <w:rFonts w:ascii="Merriweather" w:hAnsi="Merriweather"/>
                <w:color w:val="000000" w:themeColor="text1"/>
                <w:sz w:val="18"/>
                <w:szCs w:val="18"/>
              </w:rPr>
              <w:t>9</w:t>
            </w:r>
            <w:bookmarkStart w:id="0" w:name="_GoBack"/>
            <w:bookmarkEnd w:id="0"/>
          </w:p>
        </w:tc>
        <w:tc>
          <w:tcPr>
            <w:tcW w:w="270" w:type="dxa"/>
            <w:vMerge/>
          </w:tcPr>
          <w:p w14:paraId="132071E1" w14:textId="77777777" w:rsidR="00640F62" w:rsidRPr="00BD1187" w:rsidRDefault="00640F62" w:rsidP="00C5612C">
            <w:pPr>
              <w:spacing w:before="120" w:line="276" w:lineRule="auto"/>
              <w:jc w:val="both"/>
              <w:rPr>
                <w:rFonts w:ascii="Merriweather Light" w:hAnsi="Merriweather Light" w:cs="Arial"/>
                <w:i/>
                <w:iCs/>
                <w:color w:val="000000" w:themeColor="text1"/>
                <w:sz w:val="18"/>
                <w:szCs w:val="18"/>
              </w:rPr>
            </w:pPr>
          </w:p>
        </w:tc>
        <w:tc>
          <w:tcPr>
            <w:tcW w:w="5998" w:type="dxa"/>
            <w:vMerge/>
            <w:shd w:val="clear" w:color="auto" w:fill="DEEAF6"/>
          </w:tcPr>
          <w:p w14:paraId="5EBD9296" w14:textId="77777777" w:rsidR="00640F62" w:rsidRPr="00BD1187" w:rsidRDefault="00640F62" w:rsidP="00C5612C">
            <w:pPr>
              <w:spacing w:before="120" w:line="276" w:lineRule="auto"/>
              <w:jc w:val="both"/>
              <w:rPr>
                <w:rFonts w:ascii="Merriweather Light" w:hAnsi="Merriweather Light" w:cs="Arial"/>
                <w:i/>
                <w:iCs/>
                <w:color w:val="000000" w:themeColor="text1"/>
                <w:sz w:val="18"/>
                <w:szCs w:val="18"/>
              </w:rPr>
            </w:pPr>
          </w:p>
        </w:tc>
      </w:tr>
      <w:tr w:rsidR="00640F62" w:rsidRPr="00BD1187" w14:paraId="547F9FB8" w14:textId="77777777" w:rsidTr="00F44672">
        <w:tc>
          <w:tcPr>
            <w:tcW w:w="3600" w:type="dxa"/>
          </w:tcPr>
          <w:p w14:paraId="700AA2FD" w14:textId="14C557EE" w:rsidR="00640F62" w:rsidRPr="00E76AEB" w:rsidRDefault="00640F62" w:rsidP="00640F62">
            <w:pPr>
              <w:spacing w:before="60" w:line="276" w:lineRule="auto"/>
              <w:jc w:val="both"/>
              <w:rPr>
                <w:rFonts w:ascii="Merriweather" w:hAnsi="Merriweather" w:cs="Arial"/>
                <w:i/>
                <w:iCs/>
                <w:color w:val="000000" w:themeColor="text1"/>
                <w:sz w:val="18"/>
                <w:szCs w:val="18"/>
              </w:rPr>
            </w:pPr>
            <w:r w:rsidRPr="00E76AEB">
              <w:rPr>
                <w:rFonts w:ascii="Merriweather" w:hAnsi="Merriweather"/>
                <w:b/>
                <w:bCs/>
                <w:color w:val="011893"/>
                <w:sz w:val="18"/>
                <w:szCs w:val="18"/>
              </w:rPr>
              <w:t>ISSN (Print):</w:t>
            </w:r>
            <w:r w:rsidRPr="00E76AEB">
              <w:rPr>
                <w:rFonts w:ascii="Merriweather" w:hAnsi="Merriweather"/>
                <w:color w:val="011893"/>
                <w:sz w:val="18"/>
                <w:szCs w:val="18"/>
              </w:rPr>
              <w:t xml:space="preserve"> </w:t>
            </w:r>
            <w:r w:rsidRPr="00E76AEB">
              <w:rPr>
                <w:rFonts w:ascii="Merriweather" w:hAnsi="Merriweather"/>
                <w:sz w:val="18"/>
                <w:szCs w:val="18"/>
              </w:rPr>
              <w:t>2789-441X</w:t>
            </w:r>
          </w:p>
        </w:tc>
        <w:tc>
          <w:tcPr>
            <w:tcW w:w="270" w:type="dxa"/>
            <w:vMerge/>
          </w:tcPr>
          <w:p w14:paraId="631BABFC" w14:textId="77777777" w:rsidR="00640F62" w:rsidRPr="00BD1187" w:rsidRDefault="00640F62" w:rsidP="00C5612C">
            <w:pPr>
              <w:spacing w:before="120" w:line="276" w:lineRule="auto"/>
              <w:jc w:val="both"/>
              <w:rPr>
                <w:rFonts w:ascii="Merriweather Light" w:hAnsi="Merriweather Light" w:cs="Arial"/>
                <w:i/>
                <w:iCs/>
                <w:color w:val="000000" w:themeColor="text1"/>
                <w:sz w:val="18"/>
                <w:szCs w:val="18"/>
              </w:rPr>
            </w:pPr>
          </w:p>
        </w:tc>
        <w:tc>
          <w:tcPr>
            <w:tcW w:w="5998" w:type="dxa"/>
            <w:vMerge/>
            <w:shd w:val="clear" w:color="auto" w:fill="DEEAF6"/>
          </w:tcPr>
          <w:p w14:paraId="37A1C7ED" w14:textId="77777777" w:rsidR="00640F62" w:rsidRPr="00BD1187" w:rsidRDefault="00640F62" w:rsidP="00C5612C">
            <w:pPr>
              <w:spacing w:before="120" w:line="276" w:lineRule="auto"/>
              <w:jc w:val="both"/>
              <w:rPr>
                <w:rFonts w:ascii="Merriweather Light" w:hAnsi="Merriweather Light" w:cs="Arial"/>
                <w:i/>
                <w:iCs/>
                <w:color w:val="000000" w:themeColor="text1"/>
                <w:sz w:val="18"/>
                <w:szCs w:val="18"/>
              </w:rPr>
            </w:pPr>
          </w:p>
        </w:tc>
      </w:tr>
      <w:tr w:rsidR="00640F62" w:rsidRPr="00BD1187" w14:paraId="0503038E" w14:textId="77777777" w:rsidTr="00F44672">
        <w:tc>
          <w:tcPr>
            <w:tcW w:w="3600" w:type="dxa"/>
          </w:tcPr>
          <w:p w14:paraId="603E503F" w14:textId="0143D3D5" w:rsidR="00640F62" w:rsidRPr="00E76AEB" w:rsidRDefault="00640F62" w:rsidP="00640F62">
            <w:pPr>
              <w:spacing w:before="60" w:line="276" w:lineRule="auto"/>
              <w:jc w:val="both"/>
              <w:rPr>
                <w:rFonts w:ascii="Merriweather" w:hAnsi="Merriweather" w:cs="Arial"/>
                <w:i/>
                <w:iCs/>
                <w:color w:val="000000" w:themeColor="text1"/>
                <w:sz w:val="18"/>
                <w:szCs w:val="18"/>
              </w:rPr>
            </w:pPr>
            <w:r w:rsidRPr="00E76AEB">
              <w:rPr>
                <w:rFonts w:ascii="Merriweather" w:hAnsi="Merriweather"/>
                <w:b/>
                <w:bCs/>
                <w:color w:val="011893"/>
                <w:sz w:val="18"/>
                <w:szCs w:val="18"/>
              </w:rPr>
              <w:t>ISSN (Online):</w:t>
            </w:r>
            <w:r w:rsidRPr="00E76AEB">
              <w:rPr>
                <w:rFonts w:ascii="Merriweather" w:hAnsi="Merriweather"/>
                <w:color w:val="011893"/>
                <w:sz w:val="18"/>
                <w:szCs w:val="18"/>
              </w:rPr>
              <w:t xml:space="preserve"> </w:t>
            </w:r>
            <w:r w:rsidRPr="00E76AEB">
              <w:rPr>
                <w:rFonts w:ascii="Merriweather" w:hAnsi="Merriweather"/>
                <w:sz w:val="18"/>
                <w:szCs w:val="18"/>
              </w:rPr>
              <w:t>2789-4428</w:t>
            </w:r>
          </w:p>
        </w:tc>
        <w:tc>
          <w:tcPr>
            <w:tcW w:w="270" w:type="dxa"/>
            <w:vMerge/>
          </w:tcPr>
          <w:p w14:paraId="519975B3" w14:textId="77777777" w:rsidR="00640F62" w:rsidRPr="00BD1187" w:rsidRDefault="00640F62" w:rsidP="00C5612C">
            <w:pPr>
              <w:spacing w:before="120" w:line="276" w:lineRule="auto"/>
              <w:jc w:val="both"/>
              <w:rPr>
                <w:rFonts w:ascii="Merriweather Light" w:hAnsi="Merriweather Light" w:cs="Arial"/>
                <w:i/>
                <w:iCs/>
                <w:color w:val="000000" w:themeColor="text1"/>
                <w:sz w:val="18"/>
                <w:szCs w:val="18"/>
              </w:rPr>
            </w:pPr>
          </w:p>
        </w:tc>
        <w:tc>
          <w:tcPr>
            <w:tcW w:w="5998" w:type="dxa"/>
            <w:vMerge/>
            <w:shd w:val="clear" w:color="auto" w:fill="DEEAF6"/>
          </w:tcPr>
          <w:p w14:paraId="074534B0" w14:textId="77777777" w:rsidR="00640F62" w:rsidRPr="00BD1187" w:rsidRDefault="00640F62" w:rsidP="00C5612C">
            <w:pPr>
              <w:spacing w:before="120" w:line="276" w:lineRule="auto"/>
              <w:jc w:val="both"/>
              <w:rPr>
                <w:rFonts w:ascii="Merriweather Light" w:hAnsi="Merriweather Light" w:cs="Arial"/>
                <w:i/>
                <w:iCs/>
                <w:color w:val="000000" w:themeColor="text1"/>
                <w:sz w:val="18"/>
                <w:szCs w:val="18"/>
              </w:rPr>
            </w:pPr>
          </w:p>
        </w:tc>
      </w:tr>
      <w:tr w:rsidR="00640F62" w:rsidRPr="00BD1187" w14:paraId="5C739CA4" w14:textId="77777777" w:rsidTr="00F44672">
        <w:tc>
          <w:tcPr>
            <w:tcW w:w="3600" w:type="dxa"/>
          </w:tcPr>
          <w:p w14:paraId="2D543C04" w14:textId="77777777" w:rsidR="00640F62" w:rsidRPr="00BD1187" w:rsidRDefault="00640F62" w:rsidP="00C5612C">
            <w:pPr>
              <w:rPr>
                <w:rFonts w:ascii="Merriweather Light" w:hAnsi="Merriweather Light" w:cs="Arial"/>
                <w:i/>
                <w:iCs/>
                <w:color w:val="000000" w:themeColor="text1"/>
                <w:sz w:val="18"/>
                <w:szCs w:val="18"/>
              </w:rPr>
            </w:pPr>
          </w:p>
        </w:tc>
        <w:tc>
          <w:tcPr>
            <w:tcW w:w="270" w:type="dxa"/>
            <w:vMerge/>
          </w:tcPr>
          <w:p w14:paraId="138F30FC" w14:textId="77777777" w:rsidR="00640F62" w:rsidRPr="00BD1187" w:rsidRDefault="00640F62" w:rsidP="00C5612C">
            <w:pPr>
              <w:spacing w:before="120" w:line="276" w:lineRule="auto"/>
              <w:jc w:val="both"/>
              <w:rPr>
                <w:rFonts w:ascii="Merriweather Light" w:hAnsi="Merriweather Light" w:cs="Arial"/>
                <w:i/>
                <w:iCs/>
                <w:color w:val="000000" w:themeColor="text1"/>
                <w:sz w:val="18"/>
                <w:szCs w:val="18"/>
              </w:rPr>
            </w:pPr>
          </w:p>
        </w:tc>
        <w:tc>
          <w:tcPr>
            <w:tcW w:w="5998" w:type="dxa"/>
            <w:vMerge/>
            <w:shd w:val="clear" w:color="auto" w:fill="DEEAF6"/>
          </w:tcPr>
          <w:p w14:paraId="7756EA9E" w14:textId="77777777" w:rsidR="00640F62" w:rsidRPr="00BD1187" w:rsidRDefault="00640F62" w:rsidP="00C5612C">
            <w:pPr>
              <w:spacing w:before="120" w:line="276" w:lineRule="auto"/>
              <w:jc w:val="both"/>
              <w:rPr>
                <w:rFonts w:ascii="Merriweather Light" w:hAnsi="Merriweather Light" w:cs="Arial"/>
                <w:i/>
                <w:iCs/>
                <w:color w:val="000000" w:themeColor="text1"/>
                <w:sz w:val="18"/>
                <w:szCs w:val="18"/>
              </w:rPr>
            </w:pPr>
          </w:p>
        </w:tc>
      </w:tr>
      <w:tr w:rsidR="00640F62" w:rsidRPr="00BD1187" w14:paraId="6149B5CD" w14:textId="77777777" w:rsidTr="00F44672">
        <w:tc>
          <w:tcPr>
            <w:tcW w:w="3600" w:type="dxa"/>
            <w:shd w:val="clear" w:color="auto" w:fill="DEEAF6" w:themeFill="accent5" w:themeFillTint="33"/>
          </w:tcPr>
          <w:p w14:paraId="50516979" w14:textId="2AC65E59" w:rsidR="00640F62" w:rsidRPr="00BD1187" w:rsidRDefault="00640F62" w:rsidP="00C5612C">
            <w:pPr>
              <w:spacing w:before="60" w:line="276" w:lineRule="auto"/>
              <w:jc w:val="both"/>
              <w:rPr>
                <w:rFonts w:ascii="Merriweather Light" w:hAnsi="Merriweather Light" w:cs="Arial"/>
                <w:b/>
                <w:bCs/>
                <w:color w:val="000000" w:themeColor="text1"/>
                <w:sz w:val="18"/>
                <w:szCs w:val="18"/>
              </w:rPr>
            </w:pPr>
            <w:r w:rsidRPr="00BD1187">
              <w:rPr>
                <w:rFonts w:ascii="Merriweather Light" w:hAnsi="Merriweather Light" w:cs="Arial"/>
                <w:b/>
                <w:bCs/>
                <w:color w:val="011893"/>
                <w:sz w:val="18"/>
                <w:szCs w:val="18"/>
              </w:rPr>
              <w:t xml:space="preserve">Key Words </w:t>
            </w:r>
          </w:p>
        </w:tc>
        <w:tc>
          <w:tcPr>
            <w:tcW w:w="270" w:type="dxa"/>
            <w:vMerge/>
          </w:tcPr>
          <w:p w14:paraId="5E482DFB" w14:textId="77777777" w:rsidR="00640F62" w:rsidRPr="00BD1187" w:rsidRDefault="00640F62" w:rsidP="00C5612C">
            <w:pPr>
              <w:spacing w:before="120" w:line="276" w:lineRule="auto"/>
              <w:jc w:val="both"/>
              <w:rPr>
                <w:rFonts w:ascii="Merriweather Light" w:hAnsi="Merriweather Light" w:cs="Arial"/>
                <w:i/>
                <w:iCs/>
                <w:color w:val="000000" w:themeColor="text1"/>
                <w:sz w:val="18"/>
                <w:szCs w:val="18"/>
              </w:rPr>
            </w:pPr>
          </w:p>
        </w:tc>
        <w:tc>
          <w:tcPr>
            <w:tcW w:w="5998" w:type="dxa"/>
            <w:vMerge/>
            <w:shd w:val="clear" w:color="auto" w:fill="DEEAF6"/>
          </w:tcPr>
          <w:p w14:paraId="1218ED06" w14:textId="77777777" w:rsidR="00640F62" w:rsidRPr="00BD1187" w:rsidRDefault="00640F62" w:rsidP="00C5612C">
            <w:pPr>
              <w:spacing w:before="120" w:line="276" w:lineRule="auto"/>
              <w:jc w:val="both"/>
              <w:rPr>
                <w:rFonts w:ascii="Merriweather Light" w:hAnsi="Merriweather Light" w:cs="Arial"/>
                <w:i/>
                <w:iCs/>
                <w:color w:val="000000" w:themeColor="text1"/>
                <w:sz w:val="18"/>
                <w:szCs w:val="18"/>
              </w:rPr>
            </w:pPr>
          </w:p>
        </w:tc>
      </w:tr>
      <w:tr w:rsidR="00E025B4" w:rsidRPr="00BD1187" w14:paraId="0DF675DA" w14:textId="77777777" w:rsidTr="00D475E2">
        <w:trPr>
          <w:trHeight w:val="891"/>
        </w:trPr>
        <w:tc>
          <w:tcPr>
            <w:tcW w:w="3600" w:type="dxa"/>
            <w:vAlign w:val="center"/>
          </w:tcPr>
          <w:p w14:paraId="33C4175A" w14:textId="418E68DE" w:rsidR="00E025B4" w:rsidRPr="00BD1187" w:rsidRDefault="00E025B4">
            <w:pPr>
              <w:spacing w:before="60" w:line="276" w:lineRule="auto"/>
              <w:rPr>
                <w:rFonts w:ascii="Merriweather Light" w:hAnsi="Merriweather Light" w:cs="Arial"/>
                <w:color w:val="000000" w:themeColor="text1"/>
                <w:sz w:val="18"/>
                <w:szCs w:val="18"/>
              </w:rPr>
            </w:pPr>
            <w:r w:rsidRPr="00E025B4">
              <w:rPr>
                <w:rFonts w:ascii="Merriweather Light" w:hAnsi="Merriweather Light" w:cs="Arial"/>
                <w:color w:val="000000" w:themeColor="text1"/>
                <w:sz w:val="18"/>
                <w:szCs w:val="18"/>
              </w:rPr>
              <w:t xml:space="preserve">CSR, Corporate </w:t>
            </w:r>
            <w:r w:rsidR="00B726A4">
              <w:rPr>
                <w:rFonts w:ascii="Merriweather Light" w:hAnsi="Merriweather Light" w:cs="Arial"/>
                <w:color w:val="000000" w:themeColor="text1"/>
                <w:sz w:val="18"/>
                <w:szCs w:val="18"/>
              </w:rPr>
              <w:t>F</w:t>
            </w:r>
            <w:r w:rsidR="00B726A4" w:rsidRPr="00E025B4">
              <w:rPr>
                <w:rFonts w:ascii="Merriweather Light" w:hAnsi="Merriweather Light" w:cs="Arial"/>
                <w:color w:val="000000" w:themeColor="text1"/>
                <w:sz w:val="18"/>
                <w:szCs w:val="18"/>
              </w:rPr>
              <w:t xml:space="preserve">inancial </w:t>
            </w:r>
            <w:r w:rsidRPr="00E025B4">
              <w:rPr>
                <w:rFonts w:ascii="Merriweather Light" w:hAnsi="Merriweather Light" w:cs="Arial"/>
                <w:color w:val="000000" w:themeColor="text1"/>
                <w:sz w:val="18"/>
                <w:szCs w:val="18"/>
              </w:rPr>
              <w:t>Performance, Financial Performance, Social Media</w:t>
            </w:r>
          </w:p>
        </w:tc>
        <w:tc>
          <w:tcPr>
            <w:tcW w:w="270" w:type="dxa"/>
            <w:vMerge/>
          </w:tcPr>
          <w:p w14:paraId="04C0B4AF" w14:textId="77777777" w:rsidR="00E025B4" w:rsidRPr="00BD1187" w:rsidRDefault="00E025B4" w:rsidP="00C5612C">
            <w:pPr>
              <w:spacing w:before="120" w:line="276" w:lineRule="auto"/>
              <w:jc w:val="both"/>
              <w:rPr>
                <w:rFonts w:ascii="Merriweather Light" w:hAnsi="Merriweather Light" w:cs="Arial"/>
                <w:i/>
                <w:iCs/>
                <w:color w:val="000000" w:themeColor="text1"/>
                <w:sz w:val="18"/>
                <w:szCs w:val="18"/>
              </w:rPr>
            </w:pPr>
          </w:p>
        </w:tc>
        <w:tc>
          <w:tcPr>
            <w:tcW w:w="5998" w:type="dxa"/>
            <w:vMerge/>
            <w:shd w:val="clear" w:color="auto" w:fill="DEEAF6"/>
          </w:tcPr>
          <w:p w14:paraId="6FE06102" w14:textId="77777777" w:rsidR="00E025B4" w:rsidRPr="00BD1187" w:rsidRDefault="00E025B4" w:rsidP="00C5612C">
            <w:pPr>
              <w:spacing w:before="120" w:line="276" w:lineRule="auto"/>
              <w:jc w:val="both"/>
              <w:rPr>
                <w:rFonts w:ascii="Merriweather Light" w:hAnsi="Merriweather Light" w:cs="Arial"/>
                <w:i/>
                <w:iCs/>
                <w:color w:val="000000" w:themeColor="text1"/>
                <w:sz w:val="18"/>
                <w:szCs w:val="18"/>
              </w:rPr>
            </w:pPr>
          </w:p>
        </w:tc>
      </w:tr>
      <w:tr w:rsidR="00640F62" w:rsidRPr="00BD1187" w14:paraId="786D7A03" w14:textId="77777777" w:rsidTr="00616F49">
        <w:trPr>
          <w:trHeight w:val="150"/>
        </w:trPr>
        <w:tc>
          <w:tcPr>
            <w:tcW w:w="3600" w:type="dxa"/>
            <w:vAlign w:val="center"/>
          </w:tcPr>
          <w:p w14:paraId="6513BDBC" w14:textId="77777777" w:rsidR="00640F62" w:rsidRDefault="00640F62" w:rsidP="00864798">
            <w:pPr>
              <w:rPr>
                <w:rFonts w:ascii="Merriweather Light" w:hAnsi="Merriweather Light" w:cs="Arial"/>
                <w:color w:val="000000" w:themeColor="text1"/>
                <w:sz w:val="18"/>
                <w:szCs w:val="18"/>
              </w:rPr>
            </w:pPr>
          </w:p>
        </w:tc>
        <w:tc>
          <w:tcPr>
            <w:tcW w:w="270" w:type="dxa"/>
            <w:vMerge/>
          </w:tcPr>
          <w:p w14:paraId="4162D460" w14:textId="77777777" w:rsidR="00640F62" w:rsidRPr="00BD1187" w:rsidRDefault="00640F62" w:rsidP="00864798">
            <w:pPr>
              <w:spacing w:before="120" w:line="276" w:lineRule="auto"/>
              <w:jc w:val="both"/>
              <w:rPr>
                <w:rFonts w:ascii="Merriweather Light" w:hAnsi="Merriweather Light" w:cs="Arial"/>
                <w:i/>
                <w:iCs/>
                <w:color w:val="000000" w:themeColor="text1"/>
                <w:sz w:val="18"/>
                <w:szCs w:val="18"/>
              </w:rPr>
            </w:pPr>
          </w:p>
        </w:tc>
        <w:tc>
          <w:tcPr>
            <w:tcW w:w="5998" w:type="dxa"/>
            <w:vMerge/>
            <w:shd w:val="clear" w:color="auto" w:fill="DEEAF6"/>
          </w:tcPr>
          <w:p w14:paraId="077A431E" w14:textId="77777777" w:rsidR="00640F62" w:rsidRPr="00BD1187" w:rsidRDefault="00640F62" w:rsidP="00864798">
            <w:pPr>
              <w:spacing w:before="120" w:line="276" w:lineRule="auto"/>
              <w:jc w:val="both"/>
              <w:rPr>
                <w:rFonts w:ascii="Merriweather Light" w:hAnsi="Merriweather Light" w:cs="Arial"/>
                <w:i/>
                <w:iCs/>
                <w:color w:val="000000" w:themeColor="text1"/>
                <w:sz w:val="18"/>
                <w:szCs w:val="18"/>
              </w:rPr>
            </w:pPr>
          </w:p>
        </w:tc>
      </w:tr>
      <w:tr w:rsidR="00640F62" w:rsidRPr="00BD1187" w14:paraId="7F810951" w14:textId="77777777" w:rsidTr="00640F62">
        <w:trPr>
          <w:trHeight w:val="113"/>
        </w:trPr>
        <w:tc>
          <w:tcPr>
            <w:tcW w:w="3600" w:type="dxa"/>
            <w:shd w:val="clear" w:color="auto" w:fill="DEEAF6"/>
          </w:tcPr>
          <w:p w14:paraId="1AEEB410" w14:textId="16F25E2C" w:rsidR="00640F62" w:rsidRDefault="00640F62" w:rsidP="00640F62">
            <w:pPr>
              <w:rPr>
                <w:rFonts w:ascii="Merriweather Light" w:hAnsi="Merriweather Light" w:cs="Arial"/>
                <w:color w:val="000000" w:themeColor="text1"/>
                <w:sz w:val="18"/>
                <w:szCs w:val="18"/>
              </w:rPr>
            </w:pPr>
            <w:r w:rsidRPr="00BD1187">
              <w:rPr>
                <w:rFonts w:ascii="Merriweather Light" w:hAnsi="Merriweather Light" w:cs="Arial"/>
                <w:b/>
                <w:bCs/>
                <w:color w:val="011893"/>
                <w:sz w:val="18"/>
                <w:szCs w:val="18"/>
              </w:rPr>
              <w:t>Corresponding Author:</w:t>
            </w:r>
          </w:p>
        </w:tc>
        <w:tc>
          <w:tcPr>
            <w:tcW w:w="270" w:type="dxa"/>
            <w:vMerge/>
          </w:tcPr>
          <w:p w14:paraId="527E7DBD" w14:textId="77777777" w:rsidR="00640F62" w:rsidRPr="00BD1187" w:rsidRDefault="00640F62" w:rsidP="00640F62">
            <w:pPr>
              <w:spacing w:before="120" w:line="276" w:lineRule="auto"/>
              <w:jc w:val="both"/>
              <w:rPr>
                <w:rFonts w:ascii="Merriweather Light" w:hAnsi="Merriweather Light" w:cs="Arial"/>
                <w:i/>
                <w:iCs/>
                <w:color w:val="000000" w:themeColor="text1"/>
                <w:sz w:val="18"/>
                <w:szCs w:val="18"/>
              </w:rPr>
            </w:pPr>
          </w:p>
        </w:tc>
        <w:tc>
          <w:tcPr>
            <w:tcW w:w="5998" w:type="dxa"/>
            <w:vMerge/>
            <w:shd w:val="clear" w:color="auto" w:fill="DEEAF6"/>
          </w:tcPr>
          <w:p w14:paraId="59AA90C7" w14:textId="77777777" w:rsidR="00640F62" w:rsidRPr="00BD1187" w:rsidRDefault="00640F62" w:rsidP="00640F62">
            <w:pPr>
              <w:spacing w:before="120" w:line="276" w:lineRule="auto"/>
              <w:jc w:val="both"/>
              <w:rPr>
                <w:rFonts w:ascii="Merriweather Light" w:hAnsi="Merriweather Light" w:cs="Arial"/>
                <w:i/>
                <w:iCs/>
                <w:color w:val="000000" w:themeColor="text1"/>
                <w:sz w:val="18"/>
                <w:szCs w:val="18"/>
              </w:rPr>
            </w:pPr>
          </w:p>
        </w:tc>
      </w:tr>
      <w:tr w:rsidR="00640F62" w:rsidRPr="00BD1187" w14:paraId="2148411B" w14:textId="77777777" w:rsidTr="00616F49">
        <w:trPr>
          <w:trHeight w:val="112"/>
        </w:trPr>
        <w:tc>
          <w:tcPr>
            <w:tcW w:w="3600" w:type="dxa"/>
            <w:vAlign w:val="center"/>
          </w:tcPr>
          <w:p w14:paraId="630F10A2" w14:textId="77777777" w:rsidR="00E025B4" w:rsidRDefault="00E025B4" w:rsidP="00D475E2">
            <w:pPr>
              <w:spacing w:after="60"/>
              <w:rPr>
                <w:rFonts w:ascii="Merriweather Light" w:hAnsi="Merriweather Light" w:cs="Arial"/>
                <w:color w:val="000000" w:themeColor="text1"/>
                <w:sz w:val="18"/>
                <w:szCs w:val="18"/>
              </w:rPr>
            </w:pPr>
            <w:proofErr w:type="spellStart"/>
            <w:r w:rsidRPr="00E025B4">
              <w:rPr>
                <w:rFonts w:ascii="Merriweather Light" w:hAnsi="Merriweather Light" w:cs="Arial"/>
                <w:color w:val="000000" w:themeColor="text1"/>
                <w:sz w:val="18"/>
                <w:szCs w:val="18"/>
              </w:rPr>
              <w:t>Faiza</w:t>
            </w:r>
            <w:proofErr w:type="spellEnd"/>
            <w:r w:rsidRPr="00E025B4">
              <w:rPr>
                <w:rFonts w:ascii="Merriweather Light" w:hAnsi="Merriweather Light" w:cs="Arial"/>
                <w:color w:val="000000" w:themeColor="text1"/>
                <w:sz w:val="18"/>
                <w:szCs w:val="18"/>
              </w:rPr>
              <w:t xml:space="preserve"> Hashmi</w:t>
            </w:r>
          </w:p>
          <w:p w14:paraId="1F8ABB1A" w14:textId="60CAF3F5" w:rsidR="00E025B4" w:rsidRDefault="00640F62" w:rsidP="00E025B4">
            <w:pPr>
              <w:rPr>
                <w:rFonts w:ascii="Merriweather Light" w:hAnsi="Merriweather Light" w:cs="Arial"/>
                <w:color w:val="000000" w:themeColor="text1"/>
                <w:sz w:val="18"/>
                <w:szCs w:val="18"/>
              </w:rPr>
            </w:pPr>
            <w:r>
              <w:rPr>
                <w:rFonts w:ascii="Merriweather Light" w:hAnsi="Merriweather Light" w:cs="Arial"/>
                <w:color w:val="000000" w:themeColor="text1"/>
                <w:sz w:val="18"/>
                <w:szCs w:val="18"/>
              </w:rPr>
              <w:t xml:space="preserve">Email: </w:t>
            </w:r>
            <w:hyperlink r:id="rId9" w:history="1">
              <w:r w:rsidR="00E025B4" w:rsidRPr="003B2AE1">
                <w:rPr>
                  <w:rStyle w:val="Hyperlink"/>
                  <w:rFonts w:ascii="Merriweather Light" w:hAnsi="Merriweather Light" w:cs="Arial"/>
                  <w:sz w:val="18"/>
                  <w:szCs w:val="18"/>
                </w:rPr>
                <w:t>faizahashmi16@yahoo.com</w:t>
              </w:r>
            </w:hyperlink>
          </w:p>
        </w:tc>
        <w:tc>
          <w:tcPr>
            <w:tcW w:w="270" w:type="dxa"/>
            <w:vMerge/>
          </w:tcPr>
          <w:p w14:paraId="28389C87" w14:textId="77777777" w:rsidR="00640F62" w:rsidRPr="00BD1187" w:rsidRDefault="00640F62" w:rsidP="00864798">
            <w:pPr>
              <w:spacing w:before="120" w:line="276" w:lineRule="auto"/>
              <w:jc w:val="both"/>
              <w:rPr>
                <w:rFonts w:ascii="Merriweather Light" w:hAnsi="Merriweather Light" w:cs="Arial"/>
                <w:i/>
                <w:iCs/>
                <w:color w:val="000000" w:themeColor="text1"/>
                <w:sz w:val="18"/>
                <w:szCs w:val="18"/>
              </w:rPr>
            </w:pPr>
          </w:p>
        </w:tc>
        <w:tc>
          <w:tcPr>
            <w:tcW w:w="5998" w:type="dxa"/>
            <w:vMerge/>
            <w:shd w:val="clear" w:color="auto" w:fill="DEEAF6"/>
          </w:tcPr>
          <w:p w14:paraId="1ED9B6D8" w14:textId="77777777" w:rsidR="00640F62" w:rsidRPr="00BD1187" w:rsidRDefault="00640F62" w:rsidP="00864798">
            <w:pPr>
              <w:spacing w:before="120" w:line="276" w:lineRule="auto"/>
              <w:jc w:val="both"/>
              <w:rPr>
                <w:rFonts w:ascii="Merriweather Light" w:hAnsi="Merriweather Light" w:cs="Arial"/>
                <w:i/>
                <w:iCs/>
                <w:color w:val="000000" w:themeColor="text1"/>
                <w:sz w:val="18"/>
                <w:szCs w:val="18"/>
              </w:rPr>
            </w:pPr>
          </w:p>
        </w:tc>
      </w:tr>
    </w:tbl>
    <w:p w14:paraId="6C506382" w14:textId="77777777" w:rsidR="00C5612C" w:rsidRDefault="00C5612C" w:rsidP="00C5612C">
      <w:pPr>
        <w:spacing w:line="276" w:lineRule="auto"/>
        <w:jc w:val="both"/>
        <w:rPr>
          <w:rFonts w:ascii="Merriweather Light" w:hAnsi="Merriweather Light" w:cs="Arial"/>
          <w:i/>
          <w:iCs/>
          <w:color w:val="000000" w:themeColor="text1"/>
          <w:sz w:val="18"/>
          <w:szCs w:val="18"/>
        </w:rPr>
        <w:sectPr w:rsidR="00C5612C" w:rsidSect="00BB1535">
          <w:headerReference w:type="even" r:id="rId10"/>
          <w:headerReference w:type="default" r:id="rId11"/>
          <w:footerReference w:type="even" r:id="rId12"/>
          <w:footerReference w:type="default" r:id="rId13"/>
          <w:headerReference w:type="first" r:id="rId14"/>
          <w:type w:val="continuous"/>
          <w:pgSz w:w="12240" w:h="15840" w:code="1"/>
          <w:pgMar w:top="1224" w:right="1080" w:bottom="1080" w:left="1080" w:header="504" w:footer="504" w:gutter="0"/>
          <w:pgNumType w:start="78"/>
          <w:cols w:space="432"/>
          <w:titlePg/>
          <w:docGrid w:linePitch="360"/>
        </w:sectPr>
      </w:pPr>
    </w:p>
    <w:p w14:paraId="53C2BEBD" w14:textId="77777777" w:rsidR="004E5DF9" w:rsidRDefault="000F0C05" w:rsidP="004E5DF9">
      <w:pPr>
        <w:spacing w:after="60" w:line="276" w:lineRule="auto"/>
        <w:jc w:val="both"/>
        <w:rPr>
          <w:rFonts w:ascii="Merriweather Light" w:hAnsi="Merriweather Light" w:cs="Arial"/>
          <w:b/>
          <w:bCs/>
          <w:color w:val="011893"/>
          <w:sz w:val="22"/>
          <w:szCs w:val="22"/>
        </w:rPr>
      </w:pPr>
      <w:r w:rsidRPr="00BD1187">
        <w:rPr>
          <w:rFonts w:ascii="Merriweather Light" w:hAnsi="Merriweather Light" w:cs="Arial"/>
          <w:b/>
          <w:bCs/>
          <w:color w:val="011893"/>
          <w:sz w:val="22"/>
          <w:szCs w:val="22"/>
        </w:rPr>
        <w:t>Introduction</w:t>
      </w:r>
    </w:p>
    <w:p w14:paraId="792D543A" w14:textId="77777777" w:rsidR="004726BE" w:rsidRDefault="004726BE" w:rsidP="004E5DF9">
      <w:pPr>
        <w:spacing w:after="60" w:line="276" w:lineRule="auto"/>
        <w:jc w:val="both"/>
        <w:rPr>
          <w:rFonts w:ascii="Merriweather Light" w:hAnsi="Merriweather Light"/>
          <w:bCs/>
          <w:sz w:val="20"/>
          <w:szCs w:val="20"/>
        </w:rPr>
        <w:sectPr w:rsidR="004726BE" w:rsidSect="00B80C87">
          <w:footerReference w:type="first" r:id="rId15"/>
          <w:type w:val="continuous"/>
          <w:pgSz w:w="12240" w:h="15840" w:code="1"/>
          <w:pgMar w:top="1224" w:right="1080" w:bottom="1080" w:left="1080" w:header="504" w:footer="504" w:gutter="0"/>
          <w:cols w:num="2" w:space="432"/>
          <w:titlePg/>
          <w:docGrid w:linePitch="360"/>
        </w:sectPr>
      </w:pPr>
    </w:p>
    <w:p w14:paraId="4594041C" w14:textId="087BA91C" w:rsidR="004726BE" w:rsidRPr="00A02380" w:rsidRDefault="004726BE" w:rsidP="004726BE">
      <w:pPr>
        <w:pStyle w:val="BodyText"/>
        <w:spacing w:after="120" w:line="276" w:lineRule="auto"/>
        <w:ind w:left="0"/>
        <w:jc w:val="both"/>
        <w:rPr>
          <w:rFonts w:ascii="Merriweather Light" w:eastAsia="TimesNewRomanPSMT" w:hAnsi="Merriweather Light" w:cstheme="minorHAnsi"/>
          <w:sz w:val="20"/>
          <w:szCs w:val="20"/>
        </w:rPr>
      </w:pPr>
      <w:r w:rsidRPr="00A02380">
        <w:rPr>
          <w:rFonts w:ascii="Merriweather Light" w:hAnsi="Merriweather Light" w:cstheme="minorHAnsi"/>
          <w:sz w:val="20"/>
          <w:szCs w:val="20"/>
        </w:rPr>
        <w:t>CSR</w:t>
      </w:r>
      <w:r w:rsidRPr="00A02380">
        <w:rPr>
          <w:rFonts w:ascii="Merriweather Light" w:eastAsia="TimesNewRomanPSMT" w:hAnsi="Merriweather Light" w:cstheme="minorHAnsi"/>
          <w:sz w:val="20"/>
          <w:szCs w:val="20"/>
        </w:rPr>
        <w:t xml:space="preserve"> has been one of the most contentious and ever-expanding themes of study since the 1950s when it first emerged as a major issue </w:t>
      </w:r>
      <w:r w:rsidRPr="00A02380">
        <w:rPr>
          <w:rFonts w:ascii="Merriweather Light" w:eastAsia="TimesNewRomanPSMT" w:hAnsi="Merriweather Light" w:cstheme="minorHAnsi"/>
          <w:sz w:val="20"/>
          <w:szCs w:val="20"/>
        </w:rPr>
        <w:fldChar w:fldCharType="begin" w:fldLock="1"/>
      </w:r>
      <w:r w:rsidRPr="00A02380">
        <w:rPr>
          <w:rFonts w:ascii="Merriweather Light" w:eastAsia="TimesNewRomanPSMT" w:hAnsi="Merriweather Light" w:cstheme="minorHAnsi"/>
          <w:sz w:val="20"/>
          <w:szCs w:val="20"/>
        </w:rPr>
        <w:instrText>ADDIN CSL_CITATION {"citationItems":[{"id":"ITEM-1","itemData":{"DOI":"10.1108/CCIJ-04-2018-0045","ISSN":"13563289","abstract":"Purpose: The purpose of this paper is to discuss the corporate behavior of Volkswagen in its emissions scandal. It describes and analyzes a complex ethics dilemma within the purview of corporate social responsibility (CSR) and corporate sustainability (CS) and examines how this dilemma impacts critical stakeholders, thus offering several “opportunities to learn” for professionals. Design/methodology/approach: The case takes a stakeholder perspective, applying Cavanagh et al. (1981) and Gao’s (2008) ethical judgement framework. It is situated within a qualitative approach to textual analysis. Social actors, topics and evaluative statements were identified and grouped into broader categories. Findings: Six major stakeholders were directly affected by Volkswagen’s behavior: customers, investors and shareholders, the US Environmental Protection Agency, German authorities, European institutions and society-at-large. Stakeholder concerns were condensed into three dominant themes: economic, legal and environmental. According to the ethical judgment framework, Volkswagen corporate behavior showed ethical problems, theoretically demonstrating that under no ethical principle was Volkswagen’s actions justifiable, even under instrumental justifications. Research limitations/implications: The analysis was primarily based on corporate material and news media reporting. Consequently, diverse managers’ prospectives and opinions are not entirely captured. Practical implications: This paper offers several “opportunities to learn” for corporate communication professionals. Originality/value: The focus on stakeholder perspectives allows professionals to take an outside-in approach when evaluating the impact of corporate actions on stakeholders’ interests. The case analysis through Cavanagh et al. (1981) and Gao’s (2008) ethical judgment framework provides a practical theoretical instrument to assess corporate behaviors that can be used both as pre- and post-evaluations of corporate actions on CSR and CS issues.","author":[{"dropping-particle":"","family":"Valentini","given":"Chiara","non-dropping-particle":"","parse-names":false,"suffix":""},{"dropping-particle":"","family":"Kruckeberg","given":"Dean","non-dropping-particle":"","parse-names":false,"suffix":""}],"container-title":"Corporate Communications","id":"ITEM-1","issue":"4","issued":{"date-parts":[["2018","10","9"]]},"page":"528-543","publisher":"Emerald Group Holdings Ltd.","title":"“Walking the environmental responsibility talk” in the automobile industry: An ethics case study of the Volkswagen environmental scandal","type":"article-journal","volume":"23"},"uris":["http://www.mendeley.com/documents/?uuid=0260cba1-57ce-3b9a-a32a-bb6eaffa6ff5"]}],"mendeley":{"formattedCitation":"(Valentini &amp; Kruckeberg, 2018)","plainTextFormattedCitation":"(Valentini &amp; Kruckeberg, 2018)","previouslyFormattedCitation":"(Valentini &amp; Kruckeberg, 2018)"},"properties":{"noteIndex":0},"schema":"https://github.com/citation-style-language/schema/raw/master/csl-citation.json"}</w:instrText>
      </w:r>
      <w:r w:rsidRPr="00A02380">
        <w:rPr>
          <w:rFonts w:ascii="Merriweather Light" w:eastAsia="TimesNewRomanPSMT" w:hAnsi="Merriweather Light" w:cstheme="minorHAnsi"/>
          <w:sz w:val="20"/>
          <w:szCs w:val="20"/>
        </w:rPr>
        <w:fldChar w:fldCharType="separate"/>
      </w:r>
      <w:r w:rsidRPr="00A02380">
        <w:rPr>
          <w:rFonts w:ascii="Merriweather Light" w:eastAsia="TimesNewRomanPSMT" w:hAnsi="Merriweather Light" w:cstheme="minorHAnsi"/>
          <w:noProof/>
          <w:sz w:val="20"/>
          <w:szCs w:val="20"/>
        </w:rPr>
        <w:t xml:space="preserve">(Valentini &amp; Kruckeberg, </w:t>
      </w:r>
      <w:hyperlink w:anchor="Valentini" w:history="1">
        <w:r w:rsidRPr="00660DF4">
          <w:rPr>
            <w:rStyle w:val="Hyperlink"/>
            <w:rFonts w:ascii="Merriweather Light" w:eastAsia="TimesNewRomanPSMT" w:hAnsi="Merriweather Light" w:cstheme="minorHAnsi"/>
            <w:noProof/>
            <w:sz w:val="20"/>
            <w:szCs w:val="20"/>
          </w:rPr>
          <w:t>2018</w:t>
        </w:r>
      </w:hyperlink>
      <w:r w:rsidRPr="00A02380">
        <w:rPr>
          <w:rFonts w:ascii="Merriweather Light" w:eastAsia="TimesNewRomanPSMT" w:hAnsi="Merriweather Light" w:cstheme="minorHAnsi"/>
          <w:noProof/>
          <w:sz w:val="20"/>
          <w:szCs w:val="20"/>
        </w:rPr>
        <w:t>)</w:t>
      </w:r>
      <w:r w:rsidRPr="00A02380">
        <w:rPr>
          <w:rFonts w:ascii="Merriweather Light" w:eastAsia="TimesNewRomanPSMT" w:hAnsi="Merriweather Light" w:cstheme="minorHAnsi"/>
          <w:sz w:val="20"/>
          <w:szCs w:val="20"/>
        </w:rPr>
        <w:fldChar w:fldCharType="end"/>
      </w:r>
      <w:r w:rsidRPr="00A02380">
        <w:rPr>
          <w:rFonts w:ascii="Merriweather Light" w:eastAsia="TimesNewRomanPSMT" w:hAnsi="Merriweather Light" w:cstheme="minorHAnsi"/>
          <w:sz w:val="20"/>
          <w:szCs w:val="20"/>
        </w:rPr>
        <w:t>. CSR integrates societal and environmental issues into a company's long-term strategy and day-to-day operations. These programs are based on the idea that businesses may reduce their negative impacts on society and the environment by minimizing their negative consequences.</w:t>
      </w:r>
    </w:p>
    <w:p w14:paraId="5A6E925E" w14:textId="77777777" w:rsidR="004726BE" w:rsidRPr="00A02380" w:rsidRDefault="004726BE" w:rsidP="004726BE">
      <w:pPr>
        <w:pStyle w:val="BodyText"/>
        <w:spacing w:after="120" w:line="276" w:lineRule="auto"/>
        <w:ind w:left="0" w:firstLine="360"/>
        <w:jc w:val="both"/>
        <w:rPr>
          <w:rFonts w:ascii="Merriweather Light" w:eastAsia="TimesNewRomanPSMT" w:hAnsi="Merriweather Light" w:cstheme="minorHAnsi"/>
          <w:sz w:val="20"/>
          <w:szCs w:val="20"/>
        </w:rPr>
      </w:pPr>
      <w:r w:rsidRPr="00A02380">
        <w:rPr>
          <w:rFonts w:ascii="Merriweather Light" w:eastAsia="TimesNewRomanPSMT" w:hAnsi="Merriweather Light" w:cstheme="minorHAnsi"/>
          <w:sz w:val="20"/>
          <w:szCs w:val="20"/>
        </w:rPr>
        <w:t xml:space="preserve">In terms of growth and development, the telecommunications industry has established itself as one of the most important. Pakistan's communication infrastructure could have been much better when the nation was founded, with just 14,000 operational telephone lines. Previously, telecommunications services were </w:t>
      </w:r>
      <w:r w:rsidRPr="00A02380">
        <w:rPr>
          <w:rFonts w:ascii="Merriweather Light" w:eastAsia="TimesNewRomanPSMT" w:hAnsi="Merriweather Light" w:cstheme="minorHAnsi"/>
          <w:sz w:val="20"/>
          <w:szCs w:val="20"/>
        </w:rPr>
        <w:t>limited to serving the government's demands; however, this has changed considerably over the last decade as the Pakistani telecom industry has expanded across the country. As of April 2010, there were 97.6 million mobile phone subscribers in Pakistan. More than 17 million individuals in Pakistan have internet access, with an estimated 3.5 million utilizing it regularly.</w:t>
      </w:r>
    </w:p>
    <w:p w14:paraId="5EF20513" w14:textId="10A8F172" w:rsidR="004726BE" w:rsidRPr="00A02380" w:rsidRDefault="004726BE" w:rsidP="004726BE">
      <w:pPr>
        <w:pStyle w:val="BodyText"/>
        <w:spacing w:after="120" w:line="276" w:lineRule="auto"/>
        <w:ind w:left="0" w:firstLine="360"/>
        <w:jc w:val="both"/>
        <w:rPr>
          <w:rFonts w:ascii="Merriweather Light" w:eastAsia="TimesNewRomanPSMT" w:hAnsi="Merriweather Light" w:cstheme="minorHAnsi"/>
          <w:sz w:val="20"/>
          <w:szCs w:val="20"/>
        </w:rPr>
      </w:pPr>
      <w:r w:rsidRPr="00A02380">
        <w:rPr>
          <w:rFonts w:ascii="Merriweather Light" w:eastAsia="TimesNewRomanPSMT" w:hAnsi="Merriweather Light" w:cstheme="minorHAnsi"/>
          <w:sz w:val="20"/>
          <w:szCs w:val="20"/>
        </w:rPr>
        <w:t xml:space="preserve">Furthermore, internet connection is available in around 3,000 and two cities throughout the country. To attract and retain people, the telecom industry must fill available jobs with competent individuals at the appropriate time and location. Over the previous four years, this industry grew at a pace of more than 95 percent on average, culminating with a gain of 80 percent in the most recent year </w:t>
      </w:r>
      <w:r w:rsidRPr="00A02380">
        <w:rPr>
          <w:rFonts w:ascii="Merriweather Light" w:eastAsia="TimesNewRomanPSMT" w:hAnsi="Merriweather Light" w:cstheme="minorHAnsi"/>
          <w:sz w:val="20"/>
          <w:szCs w:val="20"/>
        </w:rPr>
        <w:fldChar w:fldCharType="begin" w:fldLock="1"/>
      </w:r>
      <w:r w:rsidRPr="00A02380">
        <w:rPr>
          <w:rFonts w:ascii="Merriweather Light" w:eastAsia="TimesNewRomanPSMT" w:hAnsi="Merriweather Light" w:cstheme="minorHAnsi"/>
          <w:sz w:val="20"/>
          <w:szCs w:val="20"/>
        </w:rPr>
        <w:instrText>ADDIN CSL_CITATION {"citationItems":[{"id":"ITEM-1","itemData":{"DOI":"10.1108/S1548-643520210000018008","ISSN":"19447035","abstract":"The extant literature provides much-needed support to understand marketing accountability and how marketing actions are related to financial performance (FP). However, we have limited understanding of the relationships between marketing actions and firms’ social performance (SP) and environmental performance (EP). Understanding these links is critical to enhancing sustainable FP, SP, and EP. Moreover, the literature provides limited understanding of the measures by which SP and EP may be operationalized, or the data necessary to reach a conclusion. This study bridges these gaps by extensively reviewing the extant literature to offer a set of measures and data sources to operationalize SP and EP, and empirically show their relationships with marketing actions. We find that greenhouse gas (GHG) emission, environmental disclosure score, waste reduction, energy consumption, and recycling are prominent measures of EP, and that social disclosure score, philanthropy or community spending, and diversity of gender and race are prominent measures of SP. The KLD, ASSET4, and Bloomberg are prominent sources of data that can be used to operationalize SP, to which CDP may be added for EP. We also show that marketing actions positively affect EP and SP. This study contributes to the extant literature on SP and EP by identifying measures and data sources and linking marketing actions to both performance types. It contributes to policy development by identifying the importance of EP and SP and how marketing actions can help achieve such performance.","author":[{"dropping-particle":"","family":"Sharma","given":"Amalesh","non-dropping-particle":"","parse-names":false,"suffix":""},{"dropping-particle":"","family":"Borah","given":"Sourav Bikash","non-dropping-particle":"","parse-names":false,"suffix":""},{"dropping-particle":"","family":"Adhikary","given":"Anirban","non-dropping-particle":"","parse-names":false,"suffix":""},{"dropping-particle":"","family":"Haque","given":"Tanjum","non-dropping-particle":"","parse-names":false,"suffix":""}],"container-title":"Review of Marketing Research","id":"ITEM-1","issued":{"date-parts":[["2021"]]},"page":"193-232","publisher":"Emerald Group Holdings Ltd.","title":"Accountability beyond profitability: Understanding the impact of marketing actions on environmental and social performance","type":"article-journal","volume":"18"},"uris":["http://www.mendeley.com/documents/?uuid=137f108d-5fc1-3f3b-b403-f15fb016209a"]},{"id":"ITEM-2","itemData":{"DOI":"10.1108/S2043-052320180000013006","ISSN":"20430531","abstract":"This chapter investigates how integrated reporting (IR) can contribute to a better corporate social responsibility (CSR) implementation through diffusion and adoption of CSR practices and actually applying the CSR discourse. Based on innovation diffusion theory, we intend to analyse the diffusion and adoption of CSR on the grounds of IR. The purpose of this study is to demonstrate that IR does indeed represent a mean of reducing the gaps between CSR discourse and its implementation. In order to select the most relevant papers in the area of CSR and IR, we applied the method of positive research. Therefore, the review of literature was made by analysing various theoretical and empirical studies. Setting the main coordinates for CSR and IR through theoretical background, we continue with an empirical analysis on 23 companies that voluntarily publish integrated reports. We intend to demonstrate that IR encourages a diffusion of CSR practices, as companies become more interested in their CSR behaviour.","author":[{"dropping-particle":"","family":"Dragu","given":"Ioana Maria","non-dropping-particle":"","parse-names":false,"suffix":""}],"container-title":"Developments in Corporate Governance and Responsibility","id":"ITEM-2","issued":{"date-parts":[["2018"]]},"page":"43-70","publisher":"Emerald Group Publishing Ltd.","title":"Adoption of integrated reporting an attempt to reduce the gaps between csr discourse and its implementation","type":"article-journal","volume":"13"},"uris":["http://www.mendeley.com/documents/?uuid=c6d0efc6-a979-375f-ab78-fc63aa601851"]}],"mendeley":{"formattedCitation":"(Dragu, 2018; A. Sharma et al., 2021)","plainTextFormattedCitation":"(Dragu, 2018; A. Sharma et al., 2021)","previouslyFormattedCitation":"(Dragu, 2018; A. Sharma et al., 2021)"},"properties":{"noteIndex":0},"schema":"https://github.com/citation-style-language/schema/raw/master/csl-citation.json"}</w:instrText>
      </w:r>
      <w:r w:rsidRPr="00A02380">
        <w:rPr>
          <w:rFonts w:ascii="Merriweather Light" w:eastAsia="TimesNewRomanPSMT" w:hAnsi="Merriweather Light" w:cstheme="minorHAnsi"/>
          <w:sz w:val="20"/>
          <w:szCs w:val="20"/>
        </w:rPr>
        <w:fldChar w:fldCharType="separate"/>
      </w:r>
      <w:r w:rsidRPr="00A02380">
        <w:rPr>
          <w:rFonts w:ascii="Merriweather Light" w:eastAsia="TimesNewRomanPSMT" w:hAnsi="Merriweather Light" w:cstheme="minorHAnsi"/>
          <w:noProof/>
          <w:sz w:val="20"/>
          <w:szCs w:val="20"/>
        </w:rPr>
        <w:t xml:space="preserve">(Dragu, 2018; A. Sharma et al., </w:t>
      </w:r>
      <w:hyperlink w:anchor="Dragu" w:history="1">
        <w:r w:rsidRPr="00660DF4">
          <w:rPr>
            <w:rStyle w:val="Hyperlink"/>
            <w:rFonts w:ascii="Merriweather Light" w:eastAsia="TimesNewRomanPSMT" w:hAnsi="Merriweather Light" w:cstheme="minorHAnsi"/>
            <w:noProof/>
            <w:sz w:val="20"/>
            <w:szCs w:val="20"/>
          </w:rPr>
          <w:t>2021</w:t>
        </w:r>
      </w:hyperlink>
      <w:r w:rsidRPr="00A02380">
        <w:rPr>
          <w:rFonts w:ascii="Merriweather Light" w:eastAsia="TimesNewRomanPSMT" w:hAnsi="Merriweather Light" w:cstheme="minorHAnsi"/>
          <w:noProof/>
          <w:sz w:val="20"/>
          <w:szCs w:val="20"/>
        </w:rPr>
        <w:t>)</w:t>
      </w:r>
      <w:r w:rsidRPr="00A02380">
        <w:rPr>
          <w:rFonts w:ascii="Merriweather Light" w:eastAsia="TimesNewRomanPSMT" w:hAnsi="Merriweather Light" w:cstheme="minorHAnsi"/>
          <w:sz w:val="20"/>
          <w:szCs w:val="20"/>
        </w:rPr>
        <w:fldChar w:fldCharType="end"/>
      </w:r>
      <w:r w:rsidRPr="00A02380">
        <w:rPr>
          <w:rFonts w:ascii="Merriweather Light" w:eastAsia="TimesNewRomanPSMT" w:hAnsi="Merriweather Light" w:cstheme="minorHAnsi"/>
          <w:sz w:val="20"/>
          <w:szCs w:val="20"/>
        </w:rPr>
        <w:t xml:space="preserve">. </w:t>
      </w:r>
      <w:r w:rsidRPr="00A02380">
        <w:rPr>
          <w:rFonts w:ascii="Merriweather Light" w:eastAsia="TimesNewRomanPSMT" w:hAnsi="Merriweather Light" w:cstheme="minorHAnsi"/>
          <w:sz w:val="20"/>
          <w:szCs w:val="20"/>
        </w:rPr>
        <w:lastRenderedPageBreak/>
        <w:t>This sector currently contributes 2% of GDP. A global civilization has emerged during the many previous decades. As a result of the emergence of new technologies, competition among today's telecommunications providers is severe. This knowledge has aided Pakistan's economic growth, technology-intensive business sector, and specialized human resources structure. Companies must employ effective human resource strategies to make the most of their workforces to thrive in today's competitive market.</w:t>
      </w:r>
    </w:p>
    <w:p w14:paraId="05B99D72" w14:textId="0B134CD3" w:rsidR="004726BE" w:rsidRPr="00A02380" w:rsidRDefault="00B726A4" w:rsidP="004726BE">
      <w:pPr>
        <w:pStyle w:val="BodyText"/>
        <w:spacing w:after="120" w:line="276" w:lineRule="auto"/>
        <w:ind w:left="0" w:firstLine="360"/>
        <w:jc w:val="both"/>
        <w:rPr>
          <w:rFonts w:ascii="Merriweather Light" w:eastAsia="TimesNewRomanPSMT" w:hAnsi="Merriweather Light" w:cstheme="minorHAnsi"/>
          <w:sz w:val="20"/>
          <w:szCs w:val="20"/>
        </w:rPr>
      </w:pPr>
      <w:r>
        <w:rPr>
          <w:rFonts w:ascii="Merriweather Light" w:eastAsia="TimesNewRomanPSMT" w:hAnsi="Merriweather Light" w:cstheme="minorHAnsi"/>
          <w:sz w:val="20"/>
          <w:szCs w:val="20"/>
        </w:rPr>
        <w:t>With t</w:t>
      </w:r>
      <w:r w:rsidRPr="00A02380">
        <w:rPr>
          <w:rFonts w:ascii="Merriweather Light" w:eastAsia="TimesNewRomanPSMT" w:hAnsi="Merriweather Light" w:cstheme="minorHAnsi"/>
          <w:sz w:val="20"/>
          <w:szCs w:val="20"/>
        </w:rPr>
        <w:t xml:space="preserve">he </w:t>
      </w:r>
      <w:r w:rsidR="004726BE" w:rsidRPr="00A02380">
        <w:rPr>
          <w:rFonts w:ascii="Merriweather Light" w:eastAsia="TimesNewRomanPSMT" w:hAnsi="Merriweather Light" w:cstheme="minorHAnsi"/>
          <w:sz w:val="20"/>
          <w:szCs w:val="20"/>
        </w:rPr>
        <w:t xml:space="preserve">rapid pace of change in the telecom industry and technology, businesses recognize the importance of investing in their employees' education and professional development. Employees can be happy on the job and produce appropriate output by implementing various strategies, including practical training, remuneration, decision-making participation, and empowerment. These and other strategies are among them. When these requirements are met, it sends a message to employees that their employers care about their well-being. Those who adopt this mindset are happier with their jobs. The high-involvement practices bundle includes a broad range of standard professional procedures. A high-involvement HR bundle was created by combining four distinct HR techniques </w:t>
      </w:r>
      <w:r w:rsidR="004726BE" w:rsidRPr="00A02380">
        <w:rPr>
          <w:rFonts w:ascii="Merriweather Light" w:eastAsia="TimesNewRomanPSMT" w:hAnsi="Merriweather Light" w:cstheme="minorHAnsi"/>
          <w:sz w:val="20"/>
          <w:szCs w:val="20"/>
        </w:rPr>
        <w:fldChar w:fldCharType="begin" w:fldLock="1"/>
      </w:r>
      <w:r w:rsidR="004726BE" w:rsidRPr="00A02380">
        <w:rPr>
          <w:rFonts w:ascii="Merriweather Light" w:eastAsia="TimesNewRomanPSMT" w:hAnsi="Merriweather Light" w:cstheme="minorHAnsi"/>
          <w:sz w:val="20"/>
          <w:szCs w:val="20"/>
        </w:rPr>
        <w:instrText>ADDIN CSL_CITATION {"citationItems":[{"id":"ITEM-1","itemData":{"DOI":"10.1108/AAAJ-11-2013-1526","ISSN":"09513574","abstract":"Purpose: Based on the principles of stakeholder theory, the purpose of this paper is to explore the relationship between the information reported to stakeholders in corporate social responsibility (CSR) reports and companies’ CSR reputation (CSRR). Design/methodology/approach: The paper implements two regression models to test how reporting to stakeholders influences the CSRR of 84 companies included in the Spanish “MercoEmpresas Responsables” reputation index. Findings: The results demonstrate that greater global reporting intensity to stakeholders does not necessarily mean a better CSRR. Contrarily, the reporting-reputation link depends on the intensity of reporting to specific stakeholders such as investors, regulators and the media. The findings are explained largely by the institutional, political and business characteristics of Spain after the Great Recession of 2007-2008. Research limitations/implications: The evidence reported in this paper confirms stakeholder theory as an adequate framework to understand corporate reporting to stakeholders and its relationship with CSRR. The findings suggest that stakeholder salience (i.e. power, legitimacy and urgency) is a key concept for understanding the reporting-reputation link better in future research. Practical implications: In the light of the findings, companies willing to use reporting to stakeholders as a tool to improve CSRR should establish regular mechanisms for monitoring stakeholder power, legitimacy and urgency, provide complete information to investors in their CSR reports and minimize the amount of detail provided to regulators and the media in their CSR reports. Originality/value: There is still little empirical evidence concerning how the information to stakeholders contained in CSR reports influences the processes by which CSRR is built or destroyed. This paper contributes to the previous literature by describing how the global intensity of reporting to stakeholders and the intensity of reporting to different stakeholder groups relate to CSRR.","author":[{"dropping-particle":"","family":"Pérez","given":"Andrea","non-dropping-particle":"","parse-names":false,"suffix":""},{"dropping-particle":"","family":"López","given":"Carlos","non-dropping-particle":"","parse-names":false,"suffix":""},{"dropping-particle":"","family":"García-De los Salmones","given":"María del Mar","non-dropping-particle":"","parse-names":false,"suffix":""}],"container-title":"Accounting, Auditing and Accountability Journal","id":"ITEM-1","issue":"3","issued":{"date-parts":[["2017"]]},"page":"668-698","publisher":"Emerald Group Publishing Ltd.","title":"An empirical exploration of the link between reporting to stakeholders and corporate social responsibility reputation in the Spanish context","type":"article-journal","volume":"30"},"uris":["http://www.mendeley.com/documents/?uuid=068f87cd-7db3-384b-a61f-64e921dfa771"]}],"mendeley":{"formattedCitation":"(Pérez et al., 2017)","plainTextFormattedCitation":"(Pérez et al., 2017)","previouslyFormattedCitation":"(Pérez et al., 2017)"},"properties":{"noteIndex":0},"schema":"https://github.com/citation-style-language/schema/raw/master/csl-citation.json"}</w:instrText>
      </w:r>
      <w:r w:rsidR="004726BE" w:rsidRPr="00A02380">
        <w:rPr>
          <w:rFonts w:ascii="Merriweather Light" w:eastAsia="TimesNewRomanPSMT" w:hAnsi="Merriweather Light" w:cstheme="minorHAnsi"/>
          <w:sz w:val="20"/>
          <w:szCs w:val="20"/>
        </w:rPr>
        <w:fldChar w:fldCharType="separate"/>
      </w:r>
      <w:r w:rsidR="004726BE" w:rsidRPr="00A02380">
        <w:rPr>
          <w:rFonts w:ascii="Merriweather Light" w:eastAsia="TimesNewRomanPSMT" w:hAnsi="Merriweather Light" w:cstheme="minorHAnsi"/>
          <w:noProof/>
          <w:sz w:val="20"/>
          <w:szCs w:val="20"/>
        </w:rPr>
        <w:t xml:space="preserve">(Pérez et al., </w:t>
      </w:r>
      <w:hyperlink w:anchor="Pérez" w:history="1">
        <w:r w:rsidR="004726BE" w:rsidRPr="00660DF4">
          <w:rPr>
            <w:rStyle w:val="Hyperlink"/>
            <w:rFonts w:ascii="Merriweather Light" w:eastAsia="TimesNewRomanPSMT" w:hAnsi="Merriweather Light" w:cstheme="minorHAnsi"/>
            <w:noProof/>
            <w:sz w:val="20"/>
            <w:szCs w:val="20"/>
          </w:rPr>
          <w:t>2017</w:t>
        </w:r>
      </w:hyperlink>
      <w:r w:rsidR="004726BE" w:rsidRPr="00A02380">
        <w:rPr>
          <w:rFonts w:ascii="Merriweather Light" w:eastAsia="TimesNewRomanPSMT" w:hAnsi="Merriweather Light" w:cstheme="minorHAnsi"/>
          <w:noProof/>
          <w:sz w:val="20"/>
          <w:szCs w:val="20"/>
        </w:rPr>
        <w:t>)</w:t>
      </w:r>
      <w:r w:rsidR="004726BE" w:rsidRPr="00A02380">
        <w:rPr>
          <w:rFonts w:ascii="Merriweather Light" w:eastAsia="TimesNewRomanPSMT" w:hAnsi="Merriweather Light" w:cstheme="minorHAnsi"/>
          <w:sz w:val="20"/>
          <w:szCs w:val="20"/>
        </w:rPr>
        <w:fldChar w:fldCharType="end"/>
      </w:r>
      <w:r w:rsidR="004726BE" w:rsidRPr="00A02380">
        <w:rPr>
          <w:rFonts w:ascii="Merriweather Light" w:eastAsia="TimesNewRomanPSMT" w:hAnsi="Merriweather Light" w:cstheme="minorHAnsi"/>
          <w:sz w:val="20"/>
          <w:szCs w:val="20"/>
        </w:rPr>
        <w:t>. The four abovementioned strategies were empowerment, information, training, and remuneration.</w:t>
      </w:r>
    </w:p>
    <w:p w14:paraId="3CD9D556" w14:textId="77777777" w:rsidR="004726BE" w:rsidRPr="00A02380" w:rsidRDefault="004726BE" w:rsidP="004726BE">
      <w:pPr>
        <w:pStyle w:val="BodyText"/>
        <w:spacing w:after="120" w:line="276" w:lineRule="auto"/>
        <w:ind w:left="0" w:firstLine="360"/>
        <w:jc w:val="both"/>
        <w:rPr>
          <w:rFonts w:ascii="Merriweather Light" w:eastAsia="TimesNewRomanPSMT" w:hAnsi="Merriweather Light" w:cstheme="minorHAnsi"/>
          <w:sz w:val="20"/>
          <w:szCs w:val="20"/>
        </w:rPr>
      </w:pPr>
      <w:r w:rsidRPr="00A02380">
        <w:rPr>
          <w:rFonts w:ascii="Merriweather Light" w:eastAsia="TimesNewRomanPSMT" w:hAnsi="Merriweather Light" w:cstheme="minorHAnsi"/>
          <w:sz w:val="20"/>
          <w:szCs w:val="20"/>
        </w:rPr>
        <w:t xml:space="preserve">On the other hand, scholars have proposed six distinct human resource strategies: pay for performance, group decision-making, skill development training, empowerment, and high pay. In addition to the previously investigated procedures, the package includes recruiting, assessment methods, and job security. Researchers may conclude that high levels of engagement depend on factors such as job autonomy, input into important decisions, adequate pay, and opportunities for professional development. </w:t>
      </w:r>
    </w:p>
    <w:p w14:paraId="0BDA238E" w14:textId="702587D2" w:rsidR="004726BE" w:rsidRPr="00A02380" w:rsidRDefault="004726BE" w:rsidP="004726BE">
      <w:pPr>
        <w:pStyle w:val="BodyText"/>
        <w:spacing w:after="120" w:line="276" w:lineRule="auto"/>
        <w:ind w:left="0" w:firstLine="360"/>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Numerous research has been conducted to </w:t>
      </w:r>
      <w:r w:rsidRPr="00A02380">
        <w:rPr>
          <w:rFonts w:ascii="Merriweather Light" w:hAnsi="Merriweather Light" w:cstheme="minorHAnsi"/>
          <w:sz w:val="20"/>
          <w:szCs w:val="20"/>
        </w:rPr>
        <w:t xml:space="preserve">investigate the link between CSR and corporate profitability. Meta-analysis verifies the generally favorable outcomes of these studies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{"citationItems":[{"id":"ITEM-1","itemData":{"DOI":"10.1108/JCOM-02-2017-0020","ISSN":"1363254X","abstract":"Purpose: The purpose of this paper is to compare “how we see ourselves” vs “how others see us” when communicating corporate social responsibility (CSR) activities in US pharmaceutical companies. Design/methodology/approach: Data were collected as follows: CSR reports from the companies themselves and Business Press reports from the Lexis-Nexis database. NVivo content analysis was used to compare CSR communication by companies and the Business Press. This analysis was comprised of almost 10 million words. Comparisons of Carroll’s framework, including the economic, legal, ethical, and philanthropic categories between CSR reports and the Business Press, were done. Additional analysis was done to discern individual, organizational, and societal patterns of communications. Return on assets was computed for companies that have formal CSR reports and those that do not. Findings: The analysis of documents containing almost 10 million words allowed the following conclusions: companies communicate more about their economic and philanthropic activities, and the Business Press communicates more about their legal and ethical activities. The companies and the Business Press communicated similarly about individual CSR. The organization communicated more about organizational topics, and the Business Press communicated less about societal topics. Originality/value: This paper makes both substantive and methodological contributions. Its substantive contribution allows an understanding of what pharmaceutical companies need to do to fully communicate their CSR activities. Its methodological contribution is in suggesting that content analysis be used in understanding communication patterns. A levels of analysis approach allowed the discernment of individual-oriented, organizational, and societal-oriented communication patterns.","author":[{"dropping-particle":"","family":"Cook","given":"Lori","non-dropping-particle":"","parse-names":false,"suffix":""},{"dropping-particle":"","family":"LaVan","given":"Helen","non-dropping-particle":"","parse-names":false,"suffix":""},{"dropping-particle":"","family":"Zilic","given":"Ivana","non-dropping-particle":"","parse-names":false,"suffix":""}],"container-title":"Journal of Communication Management","id":"ITEM-1","issue":"2","issued":{"date-parts":[["2018"]]},"page":"197-211","publisher":"Emerald Group Publishing Ltd.","title":"An exploratory analysis of corporate social responsibility reporting in US pharmaceutical companies","type":"article-journal","volume":"22"},"uris":["http://www.mendeley.com/documents/?uuid=66665034-a5cf-3b50-a485-a1bacbbba31c"]},{"id":"ITEM-2","itemData":{"DOI":"10.1108/IJAIM-03-2019-0041","ISSN":"17589037","abstract":"Purpose: The purpose of this study is twofold: first, to introduce two determinants of environmental, social and governance (ESG) disclosure transparency, namely, audit quality and public media exposure; and second, to investigate the impact of ESG transparency on firm-level investment efficiency. Design/methodology/approach: Ordinary least square (OLS) regressions are applied to explore the relationship between the two variables of interest (audit quality and public media exposure) and ESG transparency on a sample of publicly listed Canadian firms during the period 2008 to 2017. Then, an econometric model is used to investigate the association between ESG transparency and investment efficiency under two identified scenarios, under-investment and over-investment. Findings: Results show that audit quality and public media exposure are two main drivers of ESG transparency, hence, commitment to high-quality audits and exposure to high public media coverage drive firms to disclose more extensive and transparent ESG information. The authors also find a negative association between ESG transparency and firm-level investment inefficiency. Thus, ESG transparency generates influential incremental information that helps mitigate the information asymmetry between firms and stakeholders while fostering better resource allocation through investment efficiency. Originality/value: This study contributes to the corporate social responsibility (CSR) and ESG literature by identifying audit quality and public media exposure as two determinants of ESG transparency; and by noting that higher ESG transparency has a significant economic effect on capital investment decisions through higher firm-level investment efficiency.","author":[{"dropping-particle":"","family":"Hammami","given":"Ahmad","non-dropping-particle":"","parse-names":false,"suffix":""},{"dropping-particle":"","family":"Hendijani Zadeh","given":"Mohammad","non-dropping-particle":"","parse-names":false,"suffix":""}],"container-title":"International Journal of Accounting and Information Management","id":"ITEM-2","issue":"1","issued":{"date-parts":[["2020","2","14"]]},"page":"45-72","publisher":"Emerald Group Holdings Ltd.","title":"Audit quality, media coverage, environmental, social, and governance disclosure and firm investment efficiency: Evidence from Canada","type":"article-journal","volume":"28"},"uris":["http://www.mendeley.com/documents/?uuid=2d73ab03-f5ef-3d8f-ba36-0aefa8768545"]},{"id":"ITEM-3","itemData":{"DOI":"10.1108/AAAJ-11-2019-4239","ISSN":"09513574","abstract":"Purpose: The purpose of this study is to examine the ways that sin industry companies attempt to utilise CSR reporting for legitimation. Design/methodology/approach: Conventional and summative content analyses were carried out on annual CSR reports in UK tobacco and gambling companies, juxtaposed against analysis of the actual behaviour of the companies, collectively and individually. Findings: The paper concludes that there is an ongoing tension between the business of sin industry companies and their attempts to establish and maintain any legitimacy, using CSR reporting in particular ways to try to prove their credentials to society and to engage salient stakeholder support. Ultimately, they aim to give themselves the scope for strategic choice to enable survival and financial flourishing. Research limitations/implications: Further research on CSR on other sin industries and in other jurisdictions with different regulatory situations could shed further light on the achievement or denial of different types of legitimacy. Studying different time periods as industries change would be of value. Practical implications: On a practical basis, the study offers guidelines to stakeholders on the use of CSR reports from sin companies, and suggests the establishment of objective external CSR reports, overseen by accounting regulators. Social implications: The paper provides an overview of the role of sin industries in society, and mitigating their harms. Originality/value: This study allowed for a comprehensive, dynamic and inclusive understanding of the interplay of CSR reporting and legitimacy by addressing conflicting interests between sin companies' social effects and inherent activities at the industry level. The methodology of multiple case study design in two sin industries combined content analysis of CSR reports, juxtaposed against analysis of behaviour in context. Previous research included the juxtaposition of actuality in analysis of only single case studies or particular issues. Thus, this research allows for a broader industry understanding. On a practical basis, the study offers guidelines to stakeholders on the use of CSR reports from sin companies, and suggests the establishment of objective external CSR reports, overseen by accounting regulators. At the social level, the paper provides an overview of sin industries in society, and mitigating their harms.","author":[{"dropping-particle":"","family":"Dhandhania","given":"Asahita","non-dropping-particle":"","parse-names":false,"suffix":""},{"dropping-particle":"","family":"O'Higgins","given":"Eleanor","non-dropping-particle":"","parse-names":false,"suffix":""}],"container-title":"Accounting, Auditing and Accountability Journal","id":"ITEM-3","issued":{"date-parts":[["2021"]]},"publisher":"Emerald Group Holdings Ltd.","title":"Can “sin industries” prove their legitimacy through CSR reporting? A study of UK tobacco and gambling companies","type":"article-journal"},"uris":["http://www.mendeley.com/documents/?uuid=3ac05f60-635b-3e36-bf05-7c252948a1b9"]}],"mendeley":{"formattedCitation":"(Cook et al., 2018; Dhandhania &amp; O’Higgins, 2021; Hammami &amp; Hendijani Zadeh, 2020)","plainTextFormattedCitation":"(Cook et al., 2018; Dhandhania &amp; O’Higgins, 2021; Hammami &amp; Hendijani Zadeh, 2020)","previouslyFormattedCitation":"(Cook et al., 2018; Dhandhania &amp; O’Higgins, 2021; Hammami &amp; Hendijani Zadeh, 2020)"},"properties":{"noteIndex":0},"schema":"https://github.com/citation-style-language/schema/raw/master/csl-citation.json"}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(Cook et al., 2018; Dhandhania &amp; O’Higgins, 2021; Hammami &amp; Hendijani Zadeh, </w:t>
      </w:r>
      <w:hyperlink w:anchor="Cook" w:history="1">
        <w:r w:rsidRPr="00660DF4">
          <w:rPr>
            <w:rStyle w:val="Hyperlink"/>
            <w:rFonts w:ascii="Merriweather Light" w:hAnsi="Merriweather Light" w:cstheme="minorHAnsi"/>
            <w:noProof/>
            <w:sz w:val="20"/>
            <w:szCs w:val="20"/>
          </w:rPr>
          <w:t>2020</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 It is not suitable to generalize and apply these findings to other growing Eastern economies, such as Pakistan, which have their own business and institutional histories (weak institutions and underdeveloped markets). This is because most past studies were conducted in Western industrialized economies, where institutions and markets are more established. When CSR and performance are merged in Pakistan, they make more sense.</w:t>
      </w:r>
    </w:p>
    <w:p w14:paraId="4A92B3DC" w14:textId="5A2C22C7" w:rsidR="004726BE" w:rsidRPr="00A02380" w:rsidRDefault="004726BE" w:rsidP="004726BE">
      <w:pPr>
        <w:pStyle w:val="BodyText"/>
        <w:spacing w:after="120" w:line="276" w:lineRule="auto"/>
        <w:ind w:left="0" w:firstLine="360"/>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Experts point out that a great lot of research has been done on success from a financial aspect, and they recommend adding non-financial results to the mix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{"citationItems":[{"id":"ITEM-1","itemData":{"DOI":"10.1108/JCM-11-2019-3503","ISSN":"07363761","abstract":"Purpose: The purpose of this paper is to examine how and when a reputation for corporate social responsibility (CSR) can deter dysfunctional consumer behaviors (DCBs) such as shoplifting or negative word-of-mouth (WOM) in response to firm failures. The authors predict that congruency of the CSR activities and the basis for the firm failure (e.g. environmental protection, environmental harm) provides protection for firms while incongruency (e.g. environmental protection, social harm) does not. The authors base this prediction on the process of retroactive attribution and sense-making. Design/methodology/approach: Across two studies the research finds support that a reputation for CSR can deter consumer dysfunctional behavior. Study 1 uses an experimental design with a Mturk sample, and a behavioral outcome using an overpayment situation, to examine when consumers will act honestly and recognize overpayment. Study 2 uses secondary data, across three novel data sources (Google trends data, an existing data set of consumer perceptions of CSR and Factiva to uncover press coverage of negative firm events). Study 2 examines how CSR reputation impacts consumers’ participation in negative WOM in response to firm failures. Findings: Study 1 finds support for CSR congruency as a protection mechanism against dysfunctional behavior in response to negative events. The authors find that dysfunctional behaviors in conditions of congruency, while incongruent and a control condition do not provide such protections. Study 2 supports these findings using Google trends data in the form of online negative WOM. The authors find that when firms are known for their social performance, negative events in the social domain result in significantly lower levels of negative WOM. Originality/value: The current paper makes the novel prediction that consumers will use a current negative event (corporate social irresponsibility) to re-evaluate previous CSR. Thus, in contrast with prior research, the authors argue that a negative event is not affected by previous CSR but that previous CSR is affected by a negative event. Furthermore, the authors posit that the congruency between the transgression and previous CSR moderates consumer perceptions, such that incongruent CSR and transgression contexts lead to increased DCBs through consumers’ retroactive sense-making process.","author":[{"dropping-particle":"","family":"Allen","given":"Alexis M.","non-dropping-particle":"","parse-names":false,"suffix":""},{"dropping-particle":"","family":"Green","given":"Todd","non-dropping-particle":"","parse-names":false,"suffix":""},{"dropping-particle":"","family":"Brady","given":"Michael K.","non-dropping-particle":"","parse-names":false,"suffix":""},{"dropping-particle":"","family":"Peloza","given":"John","non-dropping-particle":"","parse-names":false,"suffix":""}],"container-title":"Journal of Consumer Marketing","id":"ITEM-1","issue":"7","issued":{"date-parts":[["2020","10","13"]]},"page":"729-738","publisher":"Emerald Group Holdings Ltd.","title":"Can corporate social responsibility deter consumer dysfunctional behavior?","type":"article-journal","volume":"37"},"uris":["http://www.mendeley.com/documents/?uuid=ebf000ad-5a59-395b-94f7-4cfae2bc38cc"]},{"id":"ITEM-2","itemData":{"DOI":"10.1108/S2043-905920180000012009","ISSN":"20439067","abstract":"Purpose – The overall goal of this chapter is to critique the purported business case for corporate social responsibility (CSR) and sustainability, which persists as a major contentious force in convincing companies to become more sustainable. Extant literature on sustainability, CSR and Socially Responsible Investments (SRIs) generally tends to focus on company perspectives decision-making and approaches. This chapter considers an alternative and under-developed perspective and examines CSR from a consumer/public perspective situated in a German context. Design/methodology/approach – This chapter builds a comprehensive literature review and employs a research philosophical point of view underpinned by a social constructionist stance. It examines indicators and attitudes towards sustainability and sustainable consumption together with socially responsible investments and considers whether the buying patterns of German consumers may serve as a rationalisation for a potential business case for CSR and sustainability. Findings – While the awareness of consumers of CSR in Germany towards sustainability tends to be generally relatively prima facie high, it is nevertheless noticeable that German consumers are predominately reluctant to pay a price premium for product possessing a superior sustainability performance. From the alternative lens of SRIs, rather than being a replete and widespread phenomenon, they are still largely a niche market. For these reasons, the potential for the existence of a business case for sustainability, CSR and SRIs tends in reality to be low, in spite of some populist or survey reports and perceptions. Originality/value – The chapter links a consumer perspective with the business case for CSR. Moreover, it focuses on the German context which tends to be underrepresented in international research.","author":[{"dropping-particle":"","family":"Kraus","given":"Patrick","non-dropping-particle":"","parse-names":false,"suffix":""},{"dropping-particle":"","family":"Britzelmaier","given":"Bernd","non-dropping-particle":"","parse-names":false,"suffix":""},{"dropping-particle":"","family":"Stokes","given":"Peter","non-dropping-particle":"","parse-names":false,"suffix":""},{"dropping-particle":"","family":"Moore","given":"Neil","non-dropping-particle":"","parse-names":false,"suffix":""}],"container-title":"Critical Studies on Corporate Responsibility, Governance and Sustainability","id":"ITEM-2","issued":{"date-parts":[["2018"]]},"page":"181-205","publisher":"Emerald Group Publishing Ltd.","title":"Challenging the business case logic for sustainability as an instrument of CSR: Do consumer attitudes in Germany support a business case?","type":"article-journal","volume":"12"},"uris":["http://www.mendeley.com/documents/?uuid=0856dcdf-9aaa-3768-938b-69caeddecc1a"]}],"mendeley":{"formattedCitation":"(Allen et al., 2020; Kraus et al., 2018)","plainTextFormattedCitation":"(Allen et al., 2020; Kraus et al., 2018)","previouslyFormattedCitation":"(Allen et al., 2020; Kraus et al., 2018)"},"properties":{"noteIndex":0},"schema":"https://github.com/citation-style-language/schema/raw/master/csl-citation.json"}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(Allen et al., 2020; Kraus et al., </w:t>
      </w:r>
      <w:hyperlink w:anchor="Allen" w:history="1">
        <w:r w:rsidRPr="00660DF4">
          <w:rPr>
            <w:rStyle w:val="Hyperlink"/>
            <w:rFonts w:ascii="Merriweather Light" w:hAnsi="Merriweather Light" w:cstheme="minorHAnsi"/>
            <w:noProof/>
            <w:sz w:val="20"/>
            <w:szCs w:val="20"/>
          </w:rPr>
          <w:t>2018</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 xml:space="preserve">. This group of researchers may be found in the publications of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{"citationItems":[{"id":"ITEM-1","itemData":{"DOI":"10.1108/S2043-052320150000007006","ISSN":"20430531","abstract":"Purpose - In recent years, the online environment and the Internet, as a communication platform, have acquired an important role regarding the companies' activity of communicating their social responsibility. The purpose of this study resides in drawing a typological classification based on analysing the manner in which the world's greatest companies conduct their communication activities as depicted by their CSR reports published online. Methodology/approach - A content analysis method was used in order to classify the common CSR activities driven by large global companies depending on their unique approaches in terms of communication. Findings - About 100 organisations extracted from Forbes Global 2000 Leading Companies (as of 2012) were subjected to the current study. Consequently, their latest CSR reports published on the Internet were analysed according to a series of five variables. The most complex one relied on what type of CSR information have the companies focused on within their reporting activities. Thus occurs the dichotomy between structuring their communication endeavours as filtering them relative to the stakeholders' needs, or trying to emphasise the different categories of initiatives. The resulted classification is founded mainly on the reality observed in a company's CSR communication activities. Research limitations/implications - The chapter argues that the classification is not limited to the proposed framework, but it may vary depending on a corporation's changes in communication or its interest in supporting new CSR tendencies so that they can be enriched. Although CSR activity is represented under various patterns by the investigated companies, all the subsequent reports can be considered as being an integral part of the system. Practical implications - Even though not all the highlighted strategic directions have an integrated profile in order to be included in the general CSR reporting, they can be taken into account in the near future. Originality/value - This new approach on classifying the different communication endeavours paves the way for an overall image on the manner in which companies of all types may align their social responsibility activities with the increasing stakeholders' demands, given the digital media specifics.","author":[{"dropping-particle":"","family":"Roşca","given":"Mihai Ioan","non-dropping-particle":"","parse-names":false,"suffix":""},{"dropping-particle":"","family":"Sarəu","given":"Andrei Claudiu","non-dropping-particle":"","parse-names":false,"suffix":""},{"dropping-particle":"","family":"Vonţea","given":"Andreea Angela","non-dropping-particle":"","parse-names":false,"suffix":""}],"container-title":"Developments in Corporate Governance and Responsibility","id":"ITEM-1","issued":{"date-parts":[["2015"]]},"page":"63-83","publisher":"Emerald Group Publishing Ltd.","title":"Classifying social causes derived from the communication of csr initiatives online: A theoretical and practical approach","type":"article-journal","volume":"7"},"uris":["http://www.mendeley.com/documents/?uuid=0ec6bd0a-2f66-3350-8aa5-201b537726e4"]},{"id":"ITEM-2","itemData":{"DOI":"10.1108/S2043-052320150000007009","ISSN":"20430531","abstract":"Purpose - Social media usage is becoming ubiquitous across the world and communicators, either corporate, independent or activist are increasingly adopting the new medium. This chapter focuses on the uses of social media for marketing communications, in particular for public relations and corporate social responsibility (CSR) by Pfizer's European offices. In doing so it evaluates the relationship between public relations and CSR as well as reviews some of the uses of social media for healthcare communications and CSR. Methodology/approach - Using a deductive approach and a methodology that combines qualitative content analysis aimed at identifying communication themes and social media audits on brand integration and communication coherence, this chapter aims to identify how Pfizer's European offices use social media to communicate online. To establish the corporate line and branding general guidelines for Pfizer, we have recorded from the company's official website (www. pfizer.com) its corporate overview and corporate responsibility information, embedded into the 'About us' section of the website. From the home page, social media links were then sought. To ensure all links were recorded the researchers used two gateways, one using the social media links on the website and one through each country's website and their social media links on their home page. The Pfizer official accounts were excluded from this analysis, the interest being on the country uses of social media and not Pfizer's official general channels. General traffic and engagement data automatically reported by each social media platforms such as number of tweets, followers, fans, and number of views were recorded manually. For more insight into Twitter activity FollerMe was then used to capture and record each account's most recent activity as it enabled the discovery of each account's creation date and the most frequently used words and hashtags in its tweets. It also helped assess the levels of performance of each country on Twitter by looking at the reported ratios of replies, mentions, tweets with links, hashtags or media to the last 100 tweets sent from the each account. For Facebook and YouTube data, only the publicly reported data was recorded. The text in the Twitter bios and about sections was also recorded and compared with the company's corporate and CSR descriptions included on the main website. Findings - Out of the 20 countries that do have a Pfizer country office, only 10 o…","author":[{"dropping-particle":"","family":"Adi","given":"Ana","non-dropping-particle":"","parse-names":false,"suffix":""},{"dropping-particle":"","family":"Grigore","given":"Georgiana","non-dropping-particle":"","parse-names":false,"suffix":""}],"container-title":"Developments in Corporate Governance and Responsibility","id":"ITEM-2","issued":{"date-parts":[["2015"]]},"page":"143-163","publisher":"Emerald Group Publishing Ltd.","title":"Communicating csr on social media: The case of pfizer's social media communications in Europe","type":"article-journal","volume":"7"},"uris":["http://www.mendeley.com/documents/?uuid=ce767ab3-3243-3f3b-ba2b-a8c62b8a4951"]}],"mendeley":{"formattedCitation":"(Adi &amp; Grigore, 2015; Roşca et al., 2015)","plainTextFormattedCitation":"(Adi &amp; Grigore, 2015; Roşca et al., 2015)","previouslyFormattedCitation":"(Adi &amp; Grigore, 2015; Roşca et al., 2015)"},"properties":{"noteIndex":0},"schema":"https://github.com/citation-style-language/schema/raw/master/csl-citation.json"}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(Adi &amp; Grigore, 2015; Roşca et al., </w:t>
      </w:r>
      <w:hyperlink w:anchor="Adi" w:history="1">
        <w:r w:rsidRPr="00660DF4">
          <w:rPr>
            <w:rStyle w:val="Hyperlink"/>
            <w:rFonts w:ascii="Merriweather Light" w:hAnsi="Merriweather Light" w:cstheme="minorHAnsi"/>
            <w:noProof/>
            <w:sz w:val="20"/>
            <w:szCs w:val="20"/>
          </w:rPr>
          <w:t>2015</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 xml:space="preserve">. The information gap that exists between a firm and its numerous stakeholders, corporate reputation management has emerged as one of the most critical issues for organizations operating in today's dynamic and turbulent business climate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{"citationItems":[{"id":"ITEM-1","itemData":{"DOI":"10.1108/CCIJ-02-2020-0047","ISSN":"13563289","abstract":"Purpose: The purpose of this paper is to explore how the communication of corporate social responsibility (CSR) contributes towards a favourable corporate reputation. It explores the communication strategies and channels organisations deemed reputable by stakeholders use to achieve an effective CSR communication. Design/methodology/approach: To achieve this, a qualitative content analysis using the directed approach was conducted on the textual CSR communication materials of ten reputable organisations in South Africa based on the 2018 South Africa Reptrak survey. Findings: Result showed that seven out of ten organisations use both self-serving and society-serving motive in their CSR communication, while the other 3 use only the society serving motive. The informing strategy was also more evident in the CSR communication materials than the interactive strategy. In terms of the communication channels, the study found that organisations mainly utilise controlled channels for CSR communication. Originality/value: The literature reviewed and the findings of this study reveal a gap between the theory and practice of CSR communication. This drives the need for organisations to research and tailor CSR communication based on stakeholders' unique characteristics and preferences. The paper also contributes to improving the knowledge on the role different CSR communication strategies and channels play in CSR communication.","author":[{"dropping-particle":"","family":"Ajayi","given":"Oyindamola Abiola","non-dropping-particle":"","parse-names":false,"suffix":""},{"dropping-particle":"","family":"Mmutle","given":"Tsietsi","non-dropping-particle":"","parse-names":false,"suffix":""}],"container-title":"Corporate Communications","id":"ITEM-1","issue":"5","issued":{"date-parts":[["2020","7","28"]]},"page":"1-15","publisher":"Emerald Group Holdings Ltd.","title":"Corporate reputation through strategic communication of corporate social responsibility","type":"article-journal","volume":"26"},"uris":["http://www.mendeley.com/documents/?uuid=886704b0-72d0-3321-b23a-a0aed9893694"]}],"mendeley":{"formattedCitation":"(Ajayi &amp; Mmutle, 2020)","plainTextFormattedCitation":"(Ajayi &amp; Mmutle, 2020)","previouslyFormattedCitation":"(Ajayi &amp; Mmutle, 2020)"},"properties":{"noteIndex":0},"schema":"https://github.com/citation-style-language/schema/raw/master/csl-citation.json"}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(Ajayi &amp; Mmutle, </w:t>
      </w:r>
      <w:hyperlink w:anchor="Ajayi" w:history="1">
        <w:r w:rsidRPr="00660DF4">
          <w:rPr>
            <w:rStyle w:val="Hyperlink"/>
            <w:rFonts w:ascii="Merriweather Light" w:hAnsi="Merriweather Light" w:cstheme="minorHAnsi"/>
            <w:noProof/>
            <w:sz w:val="20"/>
            <w:szCs w:val="20"/>
          </w:rPr>
          <w:t>2020</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p>
    <w:p w14:paraId="790ADE61" w14:textId="3C9AB201" w:rsidR="004726BE" w:rsidRPr="00A02380" w:rsidRDefault="004726BE" w:rsidP="004726BE">
      <w:pPr>
        <w:pStyle w:val="BodyText"/>
        <w:spacing w:after="120" w:line="276" w:lineRule="auto"/>
        <w:ind w:left="0" w:firstLine="360"/>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According to the preliminary findings of research into the linkages between CSR and performance, there is no such direct correlation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{"citationItems":[{"id":"ITEM-1","itemData":{"DOI":"10.1108/SRJ-06-2016-0103","ISSN":"1758857X","abstract":"Purpose - This paper aims to investigate the link between corporate social performance (CSP) and cost of debt financing. Despite academic debate has focused on the link between corporate social responsibility (CSR) and CSP (expressed through accounting and market measures of profitability), few empirical researches have analysed the relations between CSR, cost of debt and its relation with the risk profile of a firm. The literature on the cost of debt determinants generally documents a negative association between measures of the risk of the firm and its cost of debt. The literature on CSR defines risk reduction as one of the potential benefits related to CSR activities. Thus, the expectation is that high CSP scores are inversely related to cost of debt. Design/methodology/approach - Using a unique data set of 332 firms over a time period of five years antecedent to the global financial crisis, a linear regression model is applied. Findings - The results show a positive relation between CSP and cost of debt, demonstrating that CSR is not a value driver with an impact on the firm's risk profile. Practical implications - The research has also practical implications as it makes managers aware of the potentiality of CSP to reduce the firm's cost of debt. Originality/value - These findings enlarge the empirical research on the value of CSP, expanding it towards a quite new area of investigation: the cost of external financing.","author":[{"dropping-particle":"","family":"Magnanelli","given":"Barbara Sveva","non-dropping-particle":"","parse-names":false,"suffix":""},{"dropping-particle":"","family":"Izzo","given":"Maria Federica","non-dropping-particle":"","parse-names":false,"suffix":""}],"container-title":"Social Responsibility Journal","id":"ITEM-1","issue":"2","issued":{"date-parts":[["2017"]]},"page":"250-265","publisher":"Emerald Group Publishing Ltd.","title":"Corporate social performance and cost of debt: The relationship","type":"article-journal","volume":"13"},"uris":["http://www.mendeley.com/documents/?uuid=f5766a48-a328-3dca-bad6-d3a10a4ee46a"]},{"id":"ITEM-2","itemData":{"DOI":"10.1108/IJAIM-05-2016-0064","ISSN":"17589037","abstract":"Purpose - The purpose of this paper is to investigate organisational accountability to less economically powerful stakeholders in the absence of formal corporate social reporting (CSR) guidelines. In addition, this study emphasises the role of administrative and institutional reforms in empowering stakeholders in a developing country context, namely, Bangladesh. Design/methodology/approach - Consistent with prior literature, this qualitative study collected data through semi-structured interviews with 23 representatives from NGOs, media, civil society, customers, regulators, trade union leaders and employees who are considered as less economically powerful stakeholders. This paper draws on the demand for administrative reforms along with an institutional support structure (Owen et al., 1997) to enhance CSR and corporate accountability. Findings - The empirical evidence shows that there is a need for a stand-alone mandatory CSR to achieve stakeholder accountability. It also shows that there are demands from \"stakeholders to right to know\" about the company's social and environmental performance along with stakeholder engagements. There is a perceived demand for administrative reform along with institutional supports that can contribute to the CSR development in Bangladesh. These administrative reforms would encourage transparent corporate social and environmental practices. Given the socio-economic and vulnerable environmental conditions of Bangladesh, stakeholders in this study suggested contextually relevant CSR guidelines towards greater accountability. Research limitations/implications - This paper is one of the few engagement-based studies which explore the perceptions of less economically powerful stakeholders towards CSR developments in an emerging economy - Bangladesh. The findings of this study using the theoretical lens of accountability with administrative and institutional reforms lead us to conclude that companies in Bangladesh have low level of CSR towards stakeholder accountability and stakeholder engagements. Originality/value - The paper contributes to the CSR literature by highlighting the needs of CSR from the stakeholder's accountability perspective.","author":[{"dropping-particle":"","family":"Hossain","given":"Md Moazzem","non-dropping-particle":"","parse-names":false,"suffix":""},{"dropping-particle":"","family":"Alam","given":"Manzurul","non-dropping-particle":"","parse-names":false,"suffix":""}],"container-title":"International Journal of Accounting and Information Management","id":"ITEM-2","issue":"4","issued":{"date-parts":[["2016"]]},"page":"415-442","publisher":"Emerald Group Publishing Ltd.","title":"Corporate social reporting (CSR) and stakeholder accountability in Bangladesh: Perceptions of less economically powerful stakeholders","type":"article-journal","volume":"24"},"uris":["http://www.mendeley.com/documents/?uuid=25bc7fcf-1b47-374f-b1b5-19fc17336cab"]}],"mendeley":{"formattedCitation":"(Hossain &amp; Alam, 2016; Magnanelli &amp; Izzo, 2017)","plainTextFormattedCitation":"(Hossain &amp; Alam, 2016; Magnanelli &amp; Izzo, 2017)","previouslyFormattedCitation":"(Hossain &amp; Alam, 2016; Magnanelli &amp; Izzo, 2017)"},"properties":{"noteIndex":0},"schema":"https://github.com/citation-style-language/schema/raw/master/csl-citation.json"}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(Hossain &amp; Alam, 2016; Magnanelli &amp; Izzo, </w:t>
      </w:r>
      <w:hyperlink w:anchor="Hossain" w:history="1">
        <w:r w:rsidRPr="00660DF4">
          <w:rPr>
            <w:rStyle w:val="Hyperlink"/>
            <w:rFonts w:ascii="Merriweather Light" w:hAnsi="Merriweather Light" w:cstheme="minorHAnsi"/>
            <w:noProof/>
            <w:sz w:val="20"/>
            <w:szCs w:val="20"/>
          </w:rPr>
          <w:t>2017</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 xml:space="preserve">. According to academics, several corporate and contextual aspects, both within and external to the organization, influence the relationship between CSR and performance. These critical contextual components should have balanced the findings due to an overestimation of the CSR influence on performance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{"citationItems":[{"id":"ITEM-1","itemData":{"DOI":"10.1108/IJQSS-12-2017-0117","ISSN":"17566703","abstract":"Purpose: The purpose of this study is to investigate the role of corporate ethical values on the relationship between corporate social responsibility (CSR) and work-related outcomes (organizational commitment (OC), organizational citizenship behavior (OCB) and in-role job performance) in the case of a Greek port logistics management services organization. Design/methodology/approach: The field research was carried out by using a structured questionnaire, which was based on empirically validated scales. Employees’ perception of CSR was measured by two dimensions (i.e. social, environmental). Findings: Statistical analysis (PLS-SEM) confirms the conceptual framework of the study. More specifically, results revealed the association of both CSR dimensions with CEV and OCB. However, CEV proved to act as a full mediating variable between CSR and OC. Thus, CSR impact on OC is realized only through the development of concrete corporate ethical values. Similarly, CEV influences in role job performance, only through OC and OCB. Research limitations/implications: This study is cross-sectional; thus, causality of the relationships under investigation cannot be justified. The cultural context should also be considered, as field research was conducted in a Greek port logistics organization, at a country suffering from deep financial recession. Originality/value: Discussion of the importance of corporate ethical values and the underlying mechanisms of organizational policies and practices guiding CSR impact on crucial job-related outcomes.","author":[{"dropping-particle":"","family":"Trivellas","given":"Panagiotis","non-dropping-particle":"","parse-names":false,"suffix":""},{"dropping-particle":"","family":"Rafailidis","given":"Apostolos","non-dropping-particle":"","parse-names":false,"suffix":""},{"dropping-particle":"","family":"Polychroniou","given":"Panagiotis","non-dropping-particle":"","parse-names":false,"suffix":""},{"dropping-particle":"","family":"Dekoulou","given":"Paraskevi","non-dropping-particle":"","parse-names":false,"suffix":""}],"container-title":"International Journal of Quality and Service Sciences","id":"ITEM-1","issue":"2","issued":{"date-parts":[["2019","6","11"]]},"page":"265-282","publisher":"Emerald Group Holdings Ltd.","title":"Corporate social responsibility (CSR) and its internal consequences on job performance: The influence of corporate ethical values","type":"article-journal","volume":"11"},"uris":["http://www.mendeley.com/documents/?uuid=004d338e-3a27-3849-b437-b2c6a59e09b4"]}],"mendeley":{"formattedCitation":"(Trivellas et al., 2019)","plainTextFormattedCitation":"(Trivellas et al., 2019)","previouslyFormattedCitation":"(Trivellas et al., 2019)"},"properties":{"noteIndex":0},"schema":"https://github.com/citation-style-language/schema/raw/master/csl-citation.json"}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(Trivellas et al., </w:t>
      </w:r>
      <w:hyperlink w:anchor="Trivellas" w:history="1">
        <w:r w:rsidRPr="00660DF4">
          <w:rPr>
            <w:rStyle w:val="Hyperlink"/>
            <w:rFonts w:ascii="Merriweather Light" w:hAnsi="Merriweather Light" w:cstheme="minorHAnsi"/>
            <w:noProof/>
            <w:sz w:val="20"/>
            <w:szCs w:val="20"/>
          </w:rPr>
          <w:t>2019</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 xml:space="preserve">. When investigating the link between CSR and financial performance, experts advise using a probabilistic approach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{"citationItems":[{"id":"ITEM-1","itemData":{"DOI":"10.1108/SRJ-08-2020-0318","ISSN":"1758857X","abstract":"Purpose: While the link between corporate social responsibility (CSR) and corporate reputation (CR) has been well-established in the prior literature, studies that identify boundary conditions to better understand how CSR matters for CR in the eyes of stakeholders are still limited. Incorporating stakeholder theory with upper echelons theory and institutional theory, this study aims to explore whether and how the CSR-CR relationship is influenced by political ideologies (conservatism vs liberalism) of chief executive officers (CEOs), as well as the states in which firms’ headquarters are located. Design/methodology/approach: A longitudinal sample of 172 US firms between 2009 and 2014 was collected. Random effects models were used in analyzing the panel data in the study. Findings: The relationship between CSR and CR is stronger when firms are led by more liberal CEOs or headquartered in more liberal states. Originality/value: The study highlights the role political ideology plays in improving the effectiveness of the influence of CSR on corporate reputation.","author":[{"dropping-particle":"","family":"Xu","given":"Le","non-dropping-particle":"","parse-names":false,"suffix":""},{"dropping-particle":"","family":"Zhao","given":"Yue","non-dropping-particle":"","parse-names":false,"suffix":""},{"dropping-particle":"","family":"Wang","given":"Chen","non-dropping-particle":"","parse-names":false,"suffix":""},{"dropping-particle":"","family":"Ponnapalli","given":"Ajay Rama","non-dropping-particle":"","parse-names":false,"suffix":""}],"container-title":"Social Responsibility Journal","id":"ITEM-1","issue":"3","issued":{"date-parts":[["2022","3","29"]]},"page":"501-517","publisher":"Emerald Group Holdings Ltd.","title":"Corporate social responsibility and corporate reputation: the moderating roles of CEO and state political ideologies","type":"article-journal","volume":"18"},"uris":["http://www.mendeley.com/documents/?uuid=466d80ca-5805-3a7d-9fb8-fa82f6456753"]}],"mendeley":{"formattedCitation":"(Xu et al., 2022)","plainTextFormattedCitation":"(Xu et al., 2022)","previouslyFormattedCitation":"(Xu et al., 2022)"},"properties":{"noteIndex":0},"schema":"https://github.com/citation-style-language/schema/raw/master/csl-citation.json"}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(Xu et al., </w:t>
      </w:r>
      <w:hyperlink w:anchor="Xu" w:history="1">
        <w:r w:rsidRPr="00660DF4">
          <w:rPr>
            <w:rStyle w:val="Hyperlink"/>
            <w:rFonts w:ascii="Merriweather Light" w:hAnsi="Merriweather Light" w:cstheme="minorHAnsi"/>
            <w:noProof/>
            <w:sz w:val="20"/>
            <w:szCs w:val="20"/>
          </w:rPr>
          <w:t>2022</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 xml:space="preserve">. The use of moderators can shed light on the CSR-performance link and help identify instances that result in financial benefits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{"citationItems":[{"id":"ITEM-1","itemData":{"DOI":"10.1108/SAMPJ-05-2017-0043","ISSN":"2040803X","abstract":"Purpose: The purpose of this paper is to systematise the current state of research on the association between companies’ corporate social responsibility (CSR) engagement and financial analysts’ company assessment. Additionally, it aims to identify fruitful directions for future research that contribute to a further exploration of the link between CSR and financial analysts. Design/methodology/approach: This study reviews and synthesises existing research on CSR and financial analysts. Based on the research question, “What is the relationship between CSR engagement and financial analysts’ metrics?,” the authors conduct a systematic literature review. The authors search three major databases and use an extensive search term to ensure exhaustive coverage of the field. The paper then systemises the current state of research and identifies knowledge gaps and potential directions for future research. Findings: The review of existing research shows that several studies confirm a positive link between CSR performance and analyst coverage, suggesting that external monitoring through analysts incentivises companies to enhance their CSR engagement. Further, results indicate that a company’s involvement in “sin” industries is linked to lower analyst coverage. Besides, a higher level of CSR disclosure is positively associated with analyst forecast accuracy, thus indicating that the provision of CSR-related information is linked to an enhanced information environment. High levels of CSR performance are associated with more positive recommendations from analysts. However, recent surveys and interview studies on analysts’ perceptions of CSR fail to uniformly support an increasing interest in CSR. Research limitations/implications: For a better understanding of the link between CSR engagement and financial analysts, two fruitful directions for future research are observed. First, future research designs should clearly differentiate between CSR disclosure and CSR performance and take account of interdependencies between them. Second, studies should address behavioural insights into how analysts process information and the influence of individual analyst characteristics on the link between CSR engagement and an analyst’s assessment of a company. Originality/value: This study is the first to review the literature on the relationship between CSR and financial analysts. The association between CSR and financial analysts is particularly interesting given the pivotal role fina…","author":[{"dropping-particle":"","family":"Hinze","given":"Anne Kathrin","non-dropping-particle":"","parse-names":false,"suffix":""},{"dropping-particle":"","family":"Sump","given":"Franziska","non-dropping-particle":"","parse-names":false,"suffix":""}],"container-title":"Sustainability Accounting, Management and Policy Journal","id":"ITEM-1","issue":"1","issued":{"date-parts":[["2019","3","8"]]},"page":"183-207","publisher":"Emerald Group Holdings Ltd.","title":"Corporate social responsibility and financial analysts: a review of the literature","type":"article-journal","volume":"10"},"uris":["http://www.mendeley.com/documents/?uuid=1e38e212-f564-3fc7-8d31-2e525e9b4173"]}],"mendeley":{"formattedCitation":"(Hinze &amp; Sump, 2019)","plainTextFormattedCitation":"(Hinze &amp; Sump, 2019)","previouslyFormattedCitation":"(Hinze &amp; Sump, 2019)"},"properties":{"noteIndex":0},"schema":"https://github.com/citation-style-language/schema/raw/master/csl-citation.json"}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(Hinze &amp; Sump, </w:t>
      </w:r>
      <w:hyperlink w:anchor="Hinze" w:history="1">
        <w:r w:rsidRPr="00660DF4">
          <w:rPr>
            <w:rStyle w:val="Hyperlink"/>
            <w:rFonts w:ascii="Merriweather Light" w:hAnsi="Merriweather Light" w:cstheme="minorHAnsi"/>
            <w:noProof/>
            <w:sz w:val="20"/>
            <w:szCs w:val="20"/>
          </w:rPr>
          <w:t>2019</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 xml:space="preserve">; In other words, moderators may be used to discover factors that lead to financial gains. As a </w:t>
      </w:r>
      <w:r w:rsidRPr="00A02380">
        <w:rPr>
          <w:rFonts w:ascii="Merriweather Light" w:hAnsi="Merriweather Light" w:cstheme="minorHAnsi"/>
          <w:sz w:val="20"/>
          <w:szCs w:val="20"/>
        </w:rPr>
        <w:lastRenderedPageBreak/>
        <w:t xml:space="preserve">result, moderators must be considered while assessing the CSR-performance connection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{"citationItems":[{"id":"ITEM-1","itemData":{"DOI":"10.1108/CG-10-2020-0472","ISSN":"14720701","abstract":"Purpose: The study is based on a hybrid model composed of accounting and business data and is amongst the first to test the impact of corporate social responsibility (CSR) performance on the financial performance of the company, as well as the impact of financial performance on CSR performance. The bidirectional logic chosen by the study is rarely adopted in the global context and has never been tested in the Swedish context. Moreover, the purpose of this paper is to test the mediating effect of customer loyalty on the company’s CSR performance-financial performance relationship to assess this effect over the long term. This design has been neglected in previous studies. Design/methodology/approach: Data was collected from a sample of 110 Swedish companies during the period 2009–2019. This study collects the data from the Thomson Reuters Eikon database. A multiple regression analysis was performed to test the hypotheses. Findings: The results confirmed the bidirectional relationship between CSR performance and company financial performance. This means that CSR performance positively influences the company’s financial performance. Similarly, financial performance positively influences the company’s CSR performance. Moreover, customer loyalty has a positive and significant mediating effect on the company’s CSR performance-financial performance relationship. Originality/value: This study adds several inputs. The first contribution of the research is to test a hybrid model composed of accounting and commercial data. This model is amongst the first to test the impact of CSR performance on the financial performance of the company and the impact of financial performance on CSR performance. The second contribution is the bidirectional logic chosen by the study which is rarely adopted in the global context and has never been tested in the Swedish context. The third contribution is to test the mediating effect of customer loyalty on the company’s CSR performance-financial performance relationship to assess this effect over the long term. This design has been neglected in previous studies. The fourth contribution is the choice of the field of investigation for the reliability of the data used and the generalisation of the results obtained.","author":[{"dropping-particle":"","family":"Hichri","given":"Abir","non-dropping-particle":"","parse-names":false,"suffix":""},{"dropping-particle":"","family":"Ltifi","given":"Moez","non-dropping-particle":"","parse-names":false,"suffix":""}],"container-title":"Corporate Governance (Bingley)","id":"ITEM-1","issue":"7","issued":{"date-parts":[["2021","10","8"]]},"page":"1495-1518","publisher":"Emerald Group Holdings Ltd.","title":"Corporate social responsibility and financial performance: bidirectional relationship and mediating effect of customer loyalty: investigation in Sweden","type":"article-journal","volume":"21"},"uris":["http://www.mendeley.com/documents/?uuid=14d1a382-9519-4560-81b8-9839568a009b"]}],"mendeley":{"formattedCitation":"(Hichri &amp; Ltifi, 2021)","plainTextFormattedCitation":"(Hichri &amp; Ltifi, 2021)","previouslyFormattedCitation":"(Hichri &amp; Ltifi, 2021)"},"properties":{"noteIndex":0},"schema":"https://github.com/citation-style-language/schema/raw/master/csl-citation.json"}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(Hichri &amp; Ltifi, </w:t>
      </w:r>
      <w:hyperlink w:anchor="Hichri" w:history="1">
        <w:r w:rsidRPr="00660DF4">
          <w:rPr>
            <w:rStyle w:val="Hyperlink"/>
            <w:rFonts w:ascii="Merriweather Light" w:hAnsi="Merriweather Light" w:cstheme="minorHAnsi"/>
            <w:noProof/>
            <w:sz w:val="20"/>
            <w:szCs w:val="20"/>
          </w:rPr>
          <w:t>2021</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w:t>
      </w:r>
    </w:p>
    <w:p w14:paraId="310218D0" w14:textId="33EAB60A" w:rsidR="004726BE" w:rsidRPr="00A02380" w:rsidRDefault="004726BE" w:rsidP="004726BE">
      <w:pPr>
        <w:pStyle w:val="BodyText"/>
        <w:spacing w:after="120" w:line="276" w:lineRule="auto"/>
        <w:ind w:left="0" w:firstLine="360"/>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CSR is a hotly debated topic in academic and commercial circles due to its potential impact on a company's public image and financial success. CSR has profited greatly from the social and environmental concerns that many firms have faced during the past three decades. Stakeholders' perceptions of "good" and "bad" organizations for society determine which organizations they support or reject. As a result, companies are allocating more of their limited resources to CSR programs to gain favor from their most precious customers. To achieve this purpose, many organizations use CSR communication strategies, which aid in the development of trust with key stakeholders and improve the firm's image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{"citationItems":[{"id":"ITEM-1","itemData":{"DOI":"10.1108/MD-12-2020-1584","ISSN":"00251747","abstract":"Purpose: The authors aim to develop and test a theory of dual responsibility to explain the relationship between corporate social responsibility (CSR) and firm performance. The authors empirically examine whether firms that meet their economic and social responsibilities simultaneously perform better than firms that fail to do so. In doing so, the authors theoretically extend and empirically test Barney's (2018) call to incorporate the stakeholder perspective with resource-based view (RBV). The authors also examine the moderating effects of firm status on this relationship. Design/methodology/approach: The authors use a longitudinal panel sample of 137 S&amp;P 500 firms and data for the years between 2004 and 2013 collected from multiple data sources. The authors use stochastic frontiers analysis to measure firm capabilities in the areas of R&amp;D, operations and marketing. These capability measures are then used along with CSR measures and a measure of firm status to test the hypotheses of this study. The authors also conducted several robustness checks and various supplementary analyses using different econometrics techniques and different operationalizations of the key variables of interests. Findings: The results show that firm CSR is positively related to firm performance and that the effect of CSR on performance is stronger for firms with higher levels of R&amp;D capability and operational capability. The authors also find support for the three-way interaction between CSR, economic responsibility and firm status, suggesting that firms high in both social and economic responsibilities and status will enjoy the highest levels of performance. Research limitations/implications: The findings of this study are based on large, publicly listed firms in North America. Therefore, their generalizability to other contexts and other types of firms require additional research. The reliance on KLD measures is also a limitation, especially because they have not reported CSR ratings after 2013. Practical implications: For practicing managers, the main implication of this study is that an optimal balance between market and nonmarket strategies is key for superior performance. Social implications: The continued debate regarding the firm's purpose can be understood by focusing equally on the two main responsibilities of firms: nonsocial responsibility and social responsibility toward all stakeholders. Originality/value: The study answers the call to incorporate stakeholder theo…","author":[{"dropping-particle":"","family":"Al-Shammari","given":"Marwan A.","non-dropping-particle":"","parse-names":false,"suffix":""},{"dropping-particle":"","family":"Banerjee","given":"Soumendra Nath","non-dropping-particle":"","parse-names":false,"suffix":""},{"dropping-particle":"","family":"Rasheed","given":"Abdul A.","non-dropping-particle":"","parse-names":false,"suffix":""}],"container-title":"Management Decision","id":"ITEM-1","issue":"6","issued":{"date-parts":[["2022","7","12"]]},"page":"1513-1540","publisher":"Emerald Group Holdings Ltd.","title":"Corporate social responsibility and firm performance: a theory of dual responsibility","type":"article-journal","volume":"60"},"uris":["http://www.mendeley.com/documents/?uuid=2ec2fbd9-5d7a-3ede-b290-8ab42adca95f"]}],"mendeley":{"formattedCitation":"(Al-Shammari, Banerjee, et al., 2022)","plainTextFormattedCitation":"(Al-Shammari, Banerjee, et al., 2022)","previouslyFormattedCitation":"(Al-Shammari, Banerjee, et al., 2022)"},"properties":{"noteIndex":0},"schema":"https://github.com/citation-style-language/schema/raw/master/csl-citation.json"}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(Al-Shammari, Banerjee et al., </w:t>
      </w:r>
      <w:hyperlink w:anchor="AlShammari" w:history="1">
        <w:r w:rsidRPr="00660DF4">
          <w:rPr>
            <w:rStyle w:val="Hyperlink"/>
            <w:rFonts w:ascii="Merriweather Light" w:hAnsi="Merriweather Light" w:cstheme="minorHAnsi"/>
            <w:noProof/>
            <w:sz w:val="20"/>
            <w:szCs w:val="20"/>
          </w:rPr>
          <w:t>2022</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w:t>
      </w:r>
    </w:p>
    <w:p w14:paraId="387EBADB" w14:textId="72FF7478" w:rsidR="004726BE" w:rsidRPr="00A02380" w:rsidRDefault="004726BE" w:rsidP="004726BE">
      <w:pPr>
        <w:pStyle w:val="BodyText"/>
        <w:spacing w:after="120" w:line="276" w:lineRule="auto"/>
        <w:ind w:left="0" w:firstLine="360"/>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Several studies have shown an association between CSR and consumer loyalty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{"citationItems":[{"id":"ITEM-1","itemData":{"DOI":"10.1108/S2043-052320180000014010","ISSN":"20430531","abstract":"An efficient corporate social responsibility (CSR) framework in many economies has been linked with human capital development, social and financial inclusion, environmental protection and better stakeholder management. This article examines the level of efficiency of the CSR framework in Nigeria; it underscores the developmental potentials of CSR practices within the Nigerian business community. However, a prevailing trend of haphazard and sometimes dodgy CSR practices by free riding rogue companies mars such potentials. Underpinning these dodgy practices has been a CSR ‘business case’ argument coupled with dysfunctional business (corporate) law assumptions among other causative factors. The article appraises the implications of these causative factors and towards minimising the haphazard practices, proposes corporate law reforms through which the Nigerian CSR framework may become more effective.","author":[{"dropping-particle":"","family":"Amodu","given":"Nojeem","non-dropping-particle":"","parse-names":false,"suffix":""}],"container-title":"Developments in Corporate Governance and Responsibility","id":"ITEM-1","issued":{"date-parts":[["2018"]]},"page":"207-228","publisher":"Emerald Group Publishing Ltd.","title":"Corporate social responsibility as catalyst for development: Prospects and challenges in Nigeria","type":"article-journal","volume":"24"},"uris":["http://www.mendeley.com/documents/?uuid=bc3f84df-acbf-3576-967c-bc5c4193f63b"]}],"mendeley":{"formattedCitation":"(Amodu, 2018)","plainTextFormattedCitation":"(Amodu, 2018)","previouslyFormattedCitation":"(Amodu, 2018)"},"properties":{"noteIndex":0},"schema":"https://github.com/citation-style-language/schema/raw/master/csl-citation.json"}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(Amodu, </w:t>
      </w:r>
      <w:hyperlink w:anchor="Amodu" w:history="1">
        <w:r w:rsidRPr="00660DF4">
          <w:rPr>
            <w:rStyle w:val="Hyperlink"/>
            <w:rFonts w:ascii="Merriweather Light" w:hAnsi="Merriweather Light" w:cstheme="minorHAnsi"/>
            <w:noProof/>
            <w:sz w:val="20"/>
            <w:szCs w:val="20"/>
          </w:rPr>
          <w:t>2018</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 xml:space="preserve">. CSR may favor stakeholders' opinions of a firm, allowing that company to maximize its profit potential. Scholars highlight the importance of stakeholders' opinions of a company's social responsibility in determining its market reputation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{"citationItems":[{"id":"ITEM-1","itemData":{"DOI":"10.1108/SRJ-11-2017-0255","ISSN":"1758857X","abstract":"Purpose: This paper aims to study how corporate social responsibility (CSR) behaviors can lead to corporate membership on Fortune Magazine’s Most Admired Companies list. Design/methodology/approach: Regression analysis using environmental, social and governance (ESG) statistics published by MSCI-KLD as independent variables to predict the behaviors that lead to most admired status. Findings: Not surprisingly, corporate financial performance (CFP) is the largest contributor to membership on the list. However, after controlling for CFP, the analysis finds that specific social responsibility behaviors contribute to membership on the Fortune list. Practical implications: This paper finds that CSR behaviors are important to a firm’s reputation as measured by Fortune’s Most Admired Companies list. Therefore, companies should continue with social responsibility activities to improve their reputation with investors. Originality/value: Many articles test the effect of ESG on financial performance and the role of financial performance on stock price. This paper is unique in that it measures the impact of CSR on corporate reputation using an important financial market benchmark – the Fortune Most Admired Companies list.","author":[{"dropping-particle":"","family":"Jeffrey","given":"Scott","non-dropping-particle":"","parse-names":false,"suffix":""},{"dropping-particle":"","family":"Rosenberg","given":"Stuart","non-dropping-particle":"","parse-names":false,"suffix":""},{"dropping-particle":"","family":"McCabe","given":"Brianna","non-dropping-particle":"","parse-names":false,"suffix":""}],"container-title":"Social Responsibility Journal","id":"ITEM-1","issue":"3","issued":{"date-parts":[["2019","5","3"]]},"page":"395-408","publisher":"Emerald Group Holdings Ltd.","title":"Corporate social responsibility behaviors and corporate reputation","type":"article-journal","volume":"15"},"uris":["http://www.mendeley.com/documents/?uuid=1c5a77fc-70d9-38a2-ac78-120424b5902f"]}],"mendeley":{"formattedCitation":"(Jeffrey et al., 2019)","plainTextFormattedCitation":"(Jeffrey et al., 2019)","previouslyFormattedCitation":"(Jeffrey et al., 2019)"},"properties":{"noteIndex":0},"schema":"https://github.com/citation-style-language/schema/raw/master/csl-citation.json"}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(Jeffrey et al., </w:t>
      </w:r>
      <w:hyperlink w:anchor="Jeffrey" w:history="1">
        <w:r w:rsidRPr="00660DF4">
          <w:rPr>
            <w:rStyle w:val="Hyperlink"/>
            <w:rFonts w:ascii="Merriweather Light" w:hAnsi="Merriweather Light" w:cstheme="minorHAnsi"/>
            <w:noProof/>
            <w:sz w:val="20"/>
            <w:szCs w:val="20"/>
          </w:rPr>
          <w:t>2019</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 This research aims to establish how well a company's CSR actions and outcomes correspond with its stakeholders' social and environmental values and expectations. Consequently, CSR's importance as an indication of a company's overall market standing has grown rapidly. Furthermore, a company's social responsibility efforts may be the sole thing that sets it apart from rivals with similar ratings.</w:t>
      </w:r>
    </w:p>
    <w:p w14:paraId="70D32E7C" w14:textId="77777777" w:rsidR="004726BE" w:rsidRPr="00A02380" w:rsidRDefault="004726BE" w:rsidP="004726BE">
      <w:pPr>
        <w:pStyle w:val="BodyText"/>
        <w:spacing w:after="120" w:line="276" w:lineRule="auto"/>
        <w:ind w:left="0" w:firstLine="360"/>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The fundamental contribution of this research is an examination of the existing practices of highly renowned organizations to uncover CSR communication techniques and channels that contribute to favorable corporate financial performance. The study approach has substantial theoretical and practical consequences for CSR. This study offers insight into how firms are and can enhance the strategic communication of their </w:t>
      </w:r>
      <w:r w:rsidRPr="00A02380">
        <w:rPr>
          <w:rFonts w:ascii="Merriweather Light" w:hAnsi="Merriweather Light" w:cstheme="minorHAnsi"/>
          <w:sz w:val="20"/>
          <w:szCs w:val="20"/>
        </w:rPr>
        <w:t>CSR programs. The knowledge offered here may be valuable to business communication educators in academic and corporate contexts.</w:t>
      </w:r>
    </w:p>
    <w:p w14:paraId="70AB3D76" w14:textId="77777777" w:rsidR="004726BE" w:rsidRPr="00A02380" w:rsidRDefault="004726BE" w:rsidP="004726BE">
      <w:pPr>
        <w:pStyle w:val="BodyText"/>
        <w:spacing w:after="120" w:line="276" w:lineRule="auto"/>
        <w:ind w:left="0" w:firstLine="360"/>
        <w:jc w:val="both"/>
        <w:rPr>
          <w:rFonts w:ascii="Merriweather Light" w:hAnsi="Merriweather Light" w:cstheme="minorHAnsi"/>
          <w:sz w:val="20"/>
          <w:szCs w:val="20"/>
        </w:rPr>
      </w:pPr>
      <w:r w:rsidRPr="00A02380">
        <w:rPr>
          <w:rFonts w:ascii="Merriweather Light" w:hAnsi="Merriweather Light" w:cstheme="minorHAnsi"/>
          <w:sz w:val="20"/>
          <w:szCs w:val="20"/>
        </w:rPr>
        <w:t>The objectives of the study of this research are:</w:t>
      </w:r>
    </w:p>
    <w:p w14:paraId="7461BFCA" w14:textId="77777777" w:rsidR="004726BE" w:rsidRPr="00A02380" w:rsidRDefault="004726BE" w:rsidP="004726BE">
      <w:pPr>
        <w:pStyle w:val="BodyText"/>
        <w:spacing w:line="276" w:lineRule="auto"/>
        <w:ind w:left="0"/>
        <w:jc w:val="both"/>
        <w:rPr>
          <w:rFonts w:ascii="Merriweather Light" w:hAnsi="Merriweather Light" w:cstheme="minorHAnsi"/>
          <w:sz w:val="20"/>
          <w:szCs w:val="20"/>
        </w:rPr>
      </w:pPr>
      <w:r w:rsidRPr="003E228E">
        <w:rPr>
          <w:rFonts w:ascii="Merriweather Light" w:hAnsi="Merriweather Light" w:cstheme="minorHAnsi"/>
          <w:b/>
          <w:bCs/>
          <w:color w:val="011893"/>
          <w:sz w:val="20"/>
          <w:szCs w:val="20"/>
        </w:rPr>
        <w:t>RO 1:</w:t>
      </w:r>
      <w:r w:rsidRPr="003E228E">
        <w:rPr>
          <w:rFonts w:ascii="Merriweather Light" w:hAnsi="Merriweather Light" w:cstheme="minorHAnsi"/>
          <w:color w:val="011893"/>
          <w:sz w:val="20"/>
          <w:szCs w:val="20"/>
        </w:rPr>
        <w:t xml:space="preserve"> </w:t>
      </w:r>
      <w:r w:rsidRPr="00A02380">
        <w:rPr>
          <w:rFonts w:ascii="Merriweather Light" w:hAnsi="Merriweather Light" w:cstheme="minorHAnsi"/>
          <w:sz w:val="20"/>
          <w:szCs w:val="20"/>
        </w:rPr>
        <w:t>To investigate the role of social media on CSR communication factors</w:t>
      </w:r>
    </w:p>
    <w:p w14:paraId="6507A62F" w14:textId="1E810A4E" w:rsidR="004726BE" w:rsidRDefault="004726BE" w:rsidP="004726BE">
      <w:pPr>
        <w:pStyle w:val="BodyText"/>
        <w:spacing w:line="276" w:lineRule="auto"/>
        <w:ind w:left="0"/>
        <w:jc w:val="both"/>
        <w:rPr>
          <w:rFonts w:ascii="Merriweather Light" w:hAnsi="Merriweather Light" w:cstheme="minorHAnsi"/>
          <w:sz w:val="20"/>
          <w:szCs w:val="20"/>
        </w:rPr>
      </w:pPr>
      <w:r w:rsidRPr="003E228E">
        <w:rPr>
          <w:rFonts w:ascii="Merriweather Light" w:hAnsi="Merriweather Light" w:cstheme="minorHAnsi"/>
          <w:b/>
          <w:bCs/>
          <w:color w:val="011893"/>
          <w:sz w:val="20"/>
          <w:szCs w:val="20"/>
        </w:rPr>
        <w:t>RO 2:</w:t>
      </w:r>
      <w:r w:rsidRPr="003E228E">
        <w:rPr>
          <w:rFonts w:ascii="Merriweather Light" w:hAnsi="Merriweather Light" w:cstheme="minorHAnsi"/>
          <w:color w:val="011893"/>
          <w:sz w:val="20"/>
          <w:szCs w:val="20"/>
        </w:rPr>
        <w:t xml:space="preserve"> </w:t>
      </w:r>
      <w:r w:rsidRPr="00A02380">
        <w:rPr>
          <w:rFonts w:ascii="Merriweather Light" w:hAnsi="Merriweather Light" w:cstheme="minorHAnsi"/>
          <w:sz w:val="20"/>
          <w:szCs w:val="20"/>
        </w:rPr>
        <w:t>To investigate the role of CSR communication factors on corporate financial performance</w:t>
      </w:r>
    </w:p>
    <w:p w14:paraId="577502AA" w14:textId="77777777" w:rsidR="004726BE" w:rsidRPr="00A02380" w:rsidRDefault="004726BE" w:rsidP="004726BE">
      <w:pPr>
        <w:pStyle w:val="BodyText"/>
        <w:spacing w:line="276" w:lineRule="auto"/>
        <w:ind w:left="0"/>
        <w:jc w:val="both"/>
        <w:rPr>
          <w:rFonts w:ascii="Merriweather Light" w:hAnsi="Merriweather Light" w:cstheme="minorHAnsi"/>
          <w:sz w:val="20"/>
          <w:szCs w:val="20"/>
        </w:rPr>
      </w:pPr>
    </w:p>
    <w:p w14:paraId="717F5860" w14:textId="77777777" w:rsidR="004726BE" w:rsidRPr="004726BE" w:rsidRDefault="004726BE" w:rsidP="004726BE">
      <w:pPr>
        <w:spacing w:after="60" w:line="276" w:lineRule="auto"/>
        <w:jc w:val="both"/>
        <w:rPr>
          <w:rFonts w:ascii="Merriweather Light" w:hAnsi="Merriweather Light" w:cs="Arial"/>
          <w:b/>
          <w:bCs/>
          <w:color w:val="011893"/>
          <w:sz w:val="22"/>
          <w:szCs w:val="22"/>
        </w:rPr>
      </w:pPr>
      <w:bookmarkStart w:id="1" w:name="_Toc97586039"/>
      <w:bookmarkStart w:id="2" w:name="_Toc97586040"/>
      <w:bookmarkStart w:id="3" w:name="_Toc111545537"/>
      <w:r w:rsidRPr="004726BE">
        <w:rPr>
          <w:rFonts w:ascii="Merriweather Light" w:hAnsi="Merriweather Light" w:cs="Arial"/>
          <w:b/>
          <w:bCs/>
          <w:color w:val="011893"/>
          <w:sz w:val="22"/>
          <w:szCs w:val="22"/>
        </w:rPr>
        <w:t>Theoretical Background</w:t>
      </w:r>
      <w:bookmarkEnd w:id="1"/>
    </w:p>
    <w:p w14:paraId="3D6E4C04" w14:textId="77CCBC71" w:rsidR="004726BE" w:rsidRPr="00A02380" w:rsidRDefault="004726BE" w:rsidP="004726BE">
      <w:pPr>
        <w:pStyle w:val="BodyText"/>
        <w:spacing w:after="120" w:line="276" w:lineRule="auto"/>
        <w:ind w:left="0"/>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For the present survey, the attribution theory and the theory of norm reciprocity were used as models. The attribution theory describes how different events and actions are attributed to multiple parties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{"citationItems":[{"id":"ITEM-1","itemData":{"DOI":"10.1108/QRAM-07-2020-0120","ISSN":"11766093","abstract":"Purpose: This study aims to explore the use of corporate social responsibility (CSR) disclosures by the “Big Four” Australian banks post the banking royal commission (BRC) to manage their reputational risk. Design/methodology/approach: This paper uses a case study approach through a thematic analysis of the Big Four banks’ annual and sustainability reports and uses reputation risk management (RRM) as a conceptual lens to explore the image restoration strategies used by these banks. Findings: The study finds that a corrective action strategy was disclosed extensively by all four banks whereby each bank outlined the actions that they were undertaking to correct the deficiencies identified by the BRC. However, the impact of these proposed actions was tampered by the fact that each bank sought to use strategies to reduce the offensiveness of their misdemeanours. It is argued that while disclosure on corrective actions and compensation is useful, an emphasis on reducing offensiveness of actions impacts the effectiveness of banks’ responses and their acceptance of full responsibility for their actions. Research limitations/implications: This paper applies the RRM perspective to a recent reputation damaging event, thereby expanding the literature on image restoration strategies used by companies during major incidents. Practical implications: This study provides useful insights in relation to the approaches used to manage the reputational risk arising from the BRC. It provides insights into the credibility of information disclosed post an incident and has potential implications for the assurance of such information. Social implications: Given the critical importance of the banking industry to modern society, misconduct in this sector needs a closer examination, requiring a greater need for responsibility from its key players. Originality/value: This study extends the applicability of the RRM perspective to a social incident and highlights that it is reputation, rather than legitimacy, that is critical when organisations in an industry face extensive public scrutiny. A thematic analysis approach adds value to the methods used for analysing CSR disclosures.","author":[{"dropping-particle":"","family":"Lodhia","given":"Sumit","non-dropping-particle":"","parse-names":false,"suffix":""},{"dropping-particle":"","family":"Mitchell","given":"Nicole Angela","non-dropping-particle":"","parse-names":false,"suffix":""}],"container-title":"Qualitative Research in Accounting and Management","id":"ITEM-1","issue":"2","issued":{"date-parts":[["2022","3","15"]]},"page":"162-185","publisher":"Emerald Group Holdings Ltd.","title":"Corporate social responsibility disclosures and reputation risk management post the banking royal commission: a study of the big four banks","type":"article-journal","volume":"19"},"uris":["http://www.mendeley.com/documents/?uuid=0e2c24a2-6cb7-3b0f-9527-48e5c8e0e81a"]}],"mendeley":{"formattedCitation":"(Lodhia &amp; Mitchell, 2022)","plainTextFormattedCitation":"(Lodhia &amp; Mitchell, 2022)","previouslyFormattedCitation":"(Lodhia &amp; Mitchell, 2022)"},"properties":{"noteIndex":0},"schema":"https://github.com/citation-style-language/schema/raw/master/csl-citation.json"}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(Lodhia &amp; Mitchell, </w:t>
      </w:r>
      <w:hyperlink w:anchor="Lodhia" w:history="1">
        <w:r w:rsidRPr="00660DF4">
          <w:rPr>
            <w:rStyle w:val="Hyperlink"/>
            <w:rFonts w:ascii="Merriweather Light" w:hAnsi="Merriweather Light" w:cstheme="minorHAnsi"/>
            <w:noProof/>
            <w:sz w:val="20"/>
            <w:szCs w:val="20"/>
          </w:rPr>
          <w:t>2022</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 xml:space="preserve">. This theory is considered significant in the current research since attribution is favorable to customers when assessing a brand. According to the present study's findings, consumers identify a brand as socially responsible via the attribution process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{"citationItems":[{"id":"ITEM-1","itemData":{"DOI":"10.1108/IJBM-04-2020-0195","ISSN":"02652323","abstract":"Purpose: Drawing on stakeholder theory, the purpose of this paper examines how Nigerian banks employ their corporate social responsibility (CSR) initiatives to empower women to participate in economic and commercial activities. Design/methodology/approach: The methodology of this paper is regarding a thematic analysis of Nigerian banks' annual CSR and sustainability reports. Findings: A theoretical framework was developed which illustrates the investment foundation (Sustainable Development Goals, Women's Empowerment Principles (WEPs) and Nigerian Sustainable Banking Principles) that supports the different levels of engagement (healthcare, financial, social and career empowerment) aimed at different groups of women (women at large, women in business and women in career) in the society. Research limitations/implications: The study findings are confined to the banks in Nigeria, focussing on how they empower women to participate in economic and commercial activities. Practical implications: It is paramount that Nigerian banks consistently report their CSR initiatives. When designing these initiatives, it is equally important to incorporate WEPs, as they are specifically focussed on women. Social implications: Due to their low-level institutional and financial development, it is important that Nigerian banks design their CSR initiatives to improve women empowerment. While initiatives should be targeted at women's well-being and physical health, it is important to steer women towards financial and social independence through loans, grants and mentorship. Originality/value: To the best of the authors' knowledge, no other research study has examined how banks in an emerging market use their CSR activities to empower women to participate in financial activities.","author":[{"dropping-particle":"","family":"Mogaji","given":"Emmanuel","non-dropping-particle":"","parse-names":false,"suffix":""},{"dropping-particle":"","family":"Hinson","given":"Robert Ebo","non-dropping-particle":"","parse-names":false,"suffix":""},{"dropping-particle":"","family":"Nwoba","given":"Arinze Christian","non-dropping-particle":"","parse-names":false,"suffix":""},{"dropping-particle":"","family":"Nguyen","given":"Nguyen Phong","non-dropping-particle":"","parse-names":false,"suffix":""}],"container-title":"International Journal of Bank Marketing","id":"ITEM-1","issue":"4","issued":{"date-parts":[["2020"]]},"page":"516-540","publisher":"Emerald Group Holdings Ltd.","title":"Corporate social responsibility for women's empowerment: a study on Nigerian banks","type":"article-journal","volume":"39"},"uris":["http://www.mendeley.com/documents/?uuid=b26ff7e7-18ed-3d46-b960-e0bd9866bd73"]}],"mendeley":{"formattedCitation":"(Mogaji et al., 2020)","plainTextFormattedCitation":"(Mogaji et al., 2020)","previouslyFormattedCitation":"(Mogaji et al., 2020)"},"properties":{"noteIndex":0},"schema":"https://github.com/citation-style-language/schema/raw/master/csl-citation.json"}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(Mogaji et al., </w:t>
      </w:r>
      <w:hyperlink w:anchor="Mogaji" w:history="1">
        <w:r w:rsidRPr="00660DF4">
          <w:rPr>
            <w:rStyle w:val="Hyperlink"/>
            <w:rFonts w:ascii="Merriweather Light" w:hAnsi="Merriweather Light" w:cstheme="minorHAnsi"/>
            <w:noProof/>
            <w:sz w:val="20"/>
            <w:szCs w:val="20"/>
          </w:rPr>
          <w:t>2020</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 xml:space="preserve">. </w:t>
      </w:r>
    </w:p>
    <w:p w14:paraId="4B671A15" w14:textId="5F782105" w:rsidR="004726BE" w:rsidRDefault="004726BE" w:rsidP="004726BE">
      <w:pPr>
        <w:pStyle w:val="BodyText"/>
        <w:spacing w:line="276" w:lineRule="auto"/>
        <w:ind w:left="0" w:firstLine="360"/>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On the other hand, the norm of reciprocity asserts that when people obtain some advantage from other individuals or organizations, they are motivated to reciprocate in a good way. For this purpose, the authors suggest that a company's CSR operations generate pleasant feelings in its customers, who then respect the company for its socially responsible practices. This process of brand appreciation ultimately makes people loyal to a particular brand or company. Furthermore, purchase chances increased due to their love for a brand and the CSR actions of a company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{"citationItems":[{"id":"ITEM-1","itemData":{"DOI":"10.1108/SRJ-06-2021-0256","ISSN":"1758857X","abstract":"Purpose: This study aims to identify and understand the motivators of corporate social responsibility (CSR) toward education and its impact on a corporation's performance and reputation. This study examines the perceptions of CSR practice in education among the top 595 corporation representatives in the United Arab Emirates (UAE), their motivation for it and its impact on corporation reputation and performance. Design/methodology/approach: Quantitative research based on self-administered questionnaire responses from 595 respondents was conducted using a series of regression analyses. Findings: The results of this study show reciprocity and involvement to be the most prominent motivators for UAE corporations to engage in CSR toward education, whereas altruism was not found to be a motivator. Additionally, the study found a positive relationship between CSR toward education and corporation performance, with partial mediation by corporation reputation. Practical implications: The findings of this study provide guidance for UAE policymakers to understand the appropriate motivators to encourage corporations to engage in CSR activities. They help potential recipient educational institutions to strategically develop fundraising programs by factoring in what motivates corporations to donate to education. Additionally, they enlighten corporations on how CSR toward education enhances their corporation reputation and performance. Originality/value: This is a pioneering study in the field of CSR toward education in the UAE. It provides crucial insights into what motivates UAE-based corporations to engage in CSR toward education and how it impacts their reputation and performance. It also explores the benefits corporations reap by specifically focusing their CSR initiatives and investments toward education.","author":[{"dropping-particle":"","family":"Sakkaf","given":"Sarah Yaseen","non-dropping-particle":"Al","parse-names":false,"suffix":""},{"dropping-particle":"","family":"Farouk","given":"Sherine","non-dropping-particle":"","parse-names":false,"suffix":""},{"dropping-particle":"","family":"Abu Elanain","given":"Hossam M.","non-dropping-particle":"","parse-names":false,"suffix":""}],"container-title":"Social Responsibility Journal","id":"ITEM-1","issued":{"date-parts":[["2022"]]},"publisher":"Emerald Group Holdings Ltd.","title":"Corporate social responsibility towards education and corporation performance in the UAE: the mediating role of corporation reputation","type":"article-journal"},"uris":["http://www.mendeley.com/documents/?uuid=2e5c8122-071a-3455-90d1-d2602703d46d"]}],"mendeley":{"formattedCitation":"(Al Sakkaf et al., 2022)","plainTextFormattedCitation":"(Al Sakkaf et al., 2022)","previouslyFormattedCitation":"(Al Sakkaf et al., 2022)"},"properties":{"noteIndex":0},"schema":"https://github.com/citation-style-language/schema/raw/master/csl-citation.json"}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(Al Sakkaf et al., </w:t>
      </w:r>
      <w:hyperlink w:anchor="AlSakkaf" w:history="1">
        <w:r w:rsidRPr="00660DF4">
          <w:rPr>
            <w:rStyle w:val="Hyperlink"/>
            <w:rFonts w:ascii="Merriweather Light" w:hAnsi="Merriweather Light" w:cstheme="minorHAnsi"/>
            <w:noProof/>
            <w:sz w:val="20"/>
            <w:szCs w:val="20"/>
          </w:rPr>
          <w:t>2022</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w:t>
      </w:r>
    </w:p>
    <w:p w14:paraId="3DA670C4" w14:textId="77777777" w:rsidR="004726BE" w:rsidRPr="00A02380" w:rsidRDefault="004726BE" w:rsidP="004726BE">
      <w:pPr>
        <w:pStyle w:val="BodyText"/>
        <w:spacing w:line="276" w:lineRule="auto"/>
        <w:ind w:left="0"/>
        <w:jc w:val="both"/>
        <w:rPr>
          <w:rFonts w:ascii="Merriweather Light" w:hAnsi="Merriweather Light" w:cstheme="minorHAnsi"/>
          <w:sz w:val="20"/>
          <w:szCs w:val="20"/>
        </w:rPr>
      </w:pPr>
    </w:p>
    <w:p w14:paraId="4D606F4B" w14:textId="77777777" w:rsidR="004726BE" w:rsidRPr="004726BE" w:rsidRDefault="004726BE" w:rsidP="004726BE">
      <w:pPr>
        <w:pStyle w:val="Heading2"/>
        <w:spacing w:before="0" w:after="60" w:line="276" w:lineRule="auto"/>
        <w:jc w:val="both"/>
        <w:rPr>
          <w:rFonts w:ascii="Merriweather Light" w:eastAsia="Times New Roman" w:hAnsi="Merriweather Light" w:cs="Arial"/>
          <w:b/>
          <w:bCs/>
          <w:color w:val="011893"/>
          <w:sz w:val="22"/>
          <w:szCs w:val="22"/>
          <w:lang w:eastAsia="en-GB"/>
        </w:rPr>
      </w:pPr>
      <w:bookmarkStart w:id="4" w:name="_Toc65102441"/>
      <w:bookmarkStart w:id="5" w:name="_Toc97586027"/>
      <w:r w:rsidRPr="004726BE">
        <w:rPr>
          <w:rFonts w:ascii="Merriweather Light" w:eastAsia="Times New Roman" w:hAnsi="Merriweather Light" w:cs="Arial"/>
          <w:b/>
          <w:bCs/>
          <w:color w:val="011893"/>
          <w:sz w:val="22"/>
          <w:szCs w:val="22"/>
          <w:lang w:eastAsia="en-GB"/>
        </w:rPr>
        <w:t>Expectation–Evidence Theory (EET)</w:t>
      </w:r>
      <w:bookmarkEnd w:id="4"/>
      <w:bookmarkEnd w:id="5"/>
    </w:p>
    <w:p w14:paraId="079A7E05" w14:textId="5A987AF8" w:rsidR="004726BE" w:rsidRPr="00A02380" w:rsidRDefault="004726BE" w:rsidP="004726BE">
      <w:pPr>
        <w:pStyle w:val="BodyText"/>
        <w:spacing w:after="120" w:line="276" w:lineRule="auto"/>
        <w:ind w:left="0"/>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The use of the expectation-evidence theory, which places more emphasis on how consumers digest information, has also shown the utility of CCI in the process of communicating CSR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{"citationItems":[{"id":"ITEM-1","itemData":{"DOI":"10.1108/SRJ-02-2013-0024","ISSN":"1758857X","abstract":"Purpose - The purpose of this paper is to statistically assess the relationship between corporate characteristics, environmental contribution and financial performance. To this end, the authors compare the financial performance of all US corporations making up the Dow Jones Sustainability Indexes, being the most proactive companies in providing services and goods, while maintaining ethical responsibility and environmental sustainability. Design/methodology/approach - Various performance measures are compared to the mean performance of the related industry, sector and market portfolio. We employ an analysis for several time horizons of the financial measures. Findings - Analysis by the authors suggests that firms that are proactive in supporting social responsibility and environmental sustainability (SRES corporations) are characterized by significantly higher profit measures than the industry and the sector, though not higher than the entire market. They have lower short-term liquidity measures than those of the industry and related sector, and surprisingly, their long-term leverage is significantly higher. Strong SRES corporations are characterized by significantly higher managerial efficiency ratios than the respective industry and sector. Interestingly, however, the per-worker operating efficiency ratios are significantly lower than for all of the benchmarks. Practical implications - The revealed preference of corporations can be extracted from several horizon dependent financial measures. For instance, we could infer the corporate degree of SRES from their long-term capital structure, i.e. their long-term leverages and short-term liquidity measures. Originality/value - These results illustrate the strong relation between social and environmental sustainability, and long-term business plans in respect to the corporate capital structure.","author":[{"dropping-particle":"","family":"DiSegni","given":"Dafna M.","non-dropping-particle":"","parse-names":false,"suffix":""},{"dropping-particle":"","family":"Huly","given":"Moshe","non-dropping-particle":"","parse-names":false,"suffix":""},{"dropping-particle":"","family":"Akron","given":"Sagi","non-dropping-particle":"","parse-names":false,"suffix":""}],"container-title":"Social Responsibility Journal","id":"ITEM-1","issue":"1","issued":{"date-parts":[["2015","3","2"]]},"page":"131-148","publisher":"Emerald Group Holdings Ltd.","title":"Corporate social responsibility, environmental leadership and financial performance","type":"article-journal","volume":"11"},"uris":["http://www.mendeley.com/documents/?uuid=8cda541d-4cdc-38cb-8c89-b1da34aa1192"]}],"mendeley":{"formattedCitation":"(DiSegni et al., 2015)","plainTextFormattedCitation":"(DiSegni et al., 2015)","previouslyFormattedCitation":"(DiSegni et al., 2015)"},"properties":{"noteIndex":0},"schema":"https://github.com/citation-style-language/schema/raw/master/csl-citation.json"}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(DiSegni et al., </w:t>
      </w:r>
      <w:hyperlink w:anchor="DiSegni" w:history="1">
        <w:r w:rsidRPr="00660DF4">
          <w:rPr>
            <w:rStyle w:val="Hyperlink"/>
            <w:rFonts w:ascii="Merriweather Light" w:hAnsi="Merriweather Light" w:cstheme="minorHAnsi"/>
            <w:noProof/>
            <w:sz w:val="20"/>
            <w:szCs w:val="20"/>
          </w:rPr>
          <w:t>2015</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 xml:space="preserve">. Customers with a strong emotional attachment to a brand (high CCI) are more likely </w:t>
      </w:r>
      <w:r w:rsidRPr="00A02380">
        <w:rPr>
          <w:rFonts w:ascii="Merriweather Light" w:hAnsi="Merriweather Light" w:cstheme="minorHAnsi"/>
          <w:sz w:val="20"/>
          <w:szCs w:val="20"/>
        </w:rPr>
        <w:lastRenderedPageBreak/>
        <w:t>to engage in selective information processing and interpretation in order to preserve the internal consistency of their own mental models. Customers with a high level of CCI are less inclined to give weight to information that contradicts their existing views</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{"citationItems":[{"id":"ITEM-1","itemData":{"abstract":"The purpose of this chapter is to introduce and provide an overview of the topic of corporate social responsibility (CSR). The approach is to present an introduction to the importance of the topic and a review of the concept’s evolution and development which includes an exploration of the topic’s meaning and competing and complementary frameworks which are related. Among these related concepts are the following: business ethics, stakeholder management, sustainability, corporate citizenship, creating shared value, conscious capitalism, and purpose-driven business. These concepts are frequently used interchangeably with CSR, and they have more in common than differences. At their core, each embraces value, balance, and accountability. The chapter also explores a number of key research avenues that are quite contemporary. Among these, the following topics are addressed: political CSR; the CSP–CFP relationship and business case for CSR; upstream/downstream CSR; CSR in emerging economies, corporate social activism, and corporate social irresponsibility. In the final analysis, it is argued that the topic of CSR continues to be on an upward and sustainable trajectory in both conceptual development and practice.","author":[{"dropping-particle":"","family":"Carroll","given":"Archie B.","non-dropping-particle":"","parse-names":false,"suffix":""},{"dropping-particle":"","family":"Brown","given":"Jill A.","non-dropping-particle":"","parse-names":false,"suffix":""}],"id":"ITEM-1","issued":{"date-parts":[["2018","5","14"]]},"page":"39-69","title":"Corporate Social Responsibility: A Review of Current Concepts, Research, and Issues","type":"article-journal"},"uris":["http://www.mendeley.com/documents/?uuid=2d62de56-dd72-4ced-8ff9-02a68360206f"]}],"mendeley":{"formattedCitation":"(Carroll &amp; Brown, 2018)","plainTextFormattedCitation":"(Carroll &amp; Brown, 2018)","previouslyFormattedCitation":"(Carroll &amp; Brown, 2018)"},"properties":{"noteIndex":0},"schema":"https://github.com/citation-style-language/schema/raw/master/csl-citation.json"}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(Carroll &amp; Brown, 2018)</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 xml:space="preserve">. </w:t>
      </w:r>
    </w:p>
    <w:p w14:paraId="4CE13D43" w14:textId="661B2FA9" w:rsidR="004726BE" w:rsidRDefault="004726BE" w:rsidP="004726BE">
      <w:pPr>
        <w:pStyle w:val="BodyText"/>
        <w:spacing w:line="276" w:lineRule="auto"/>
        <w:ind w:left="0" w:firstLine="360"/>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This research </w:t>
      </w:r>
      <w:r w:rsidR="00660DF4" w:rsidRPr="00A02380">
        <w:rPr>
          <w:rFonts w:ascii="Merriweather Light" w:hAnsi="Merriweather Light" w:cstheme="minorHAnsi"/>
          <w:sz w:val="20"/>
          <w:szCs w:val="20"/>
        </w:rPr>
        <w:t>hypothesizes</w:t>
      </w:r>
      <w:r w:rsidRPr="00A02380">
        <w:rPr>
          <w:rFonts w:ascii="Merriweather Light" w:hAnsi="Merriweather Light" w:cstheme="minorHAnsi"/>
          <w:sz w:val="20"/>
          <w:szCs w:val="20"/>
        </w:rPr>
        <w:t xml:space="preserve"> that the efficiency of CSR communication varies with the amount of CCI based on the expectation-evidence framework of confirmatory bias and the selective information process. Stakeholders that have a good grasp on these factors will be more receptive to CSR communication since they are more motivated to have a consistent and positive perspective of themselves or their contributions. That is why CCI is so important: it forecasts </w:t>
      </w:r>
      <w:r w:rsidR="00B726A4" w:rsidRPr="00A02380">
        <w:rPr>
          <w:rFonts w:ascii="Merriweather Light" w:hAnsi="Merriweather Light" w:cstheme="minorHAnsi"/>
          <w:sz w:val="20"/>
          <w:szCs w:val="20"/>
        </w:rPr>
        <w:t>wh</w:t>
      </w:r>
      <w:r w:rsidR="00B726A4">
        <w:rPr>
          <w:rFonts w:ascii="Merriweather Light" w:hAnsi="Merriweather Light" w:cstheme="minorHAnsi"/>
          <w:sz w:val="20"/>
          <w:szCs w:val="20"/>
        </w:rPr>
        <w:t>ich</w:t>
      </w:r>
      <w:r w:rsidR="00B726A4" w:rsidRPr="00A02380">
        <w:rPr>
          <w:rFonts w:ascii="Merriweather Light" w:hAnsi="Merriweather Light" w:cstheme="minorHAnsi"/>
          <w:sz w:val="20"/>
          <w:szCs w:val="20"/>
        </w:rPr>
        <w:t xml:space="preserve"> </w:t>
      </w:r>
      <w:r w:rsidRPr="00A02380">
        <w:rPr>
          <w:rFonts w:ascii="Merriweather Light" w:hAnsi="Merriweather Light" w:cstheme="minorHAnsi"/>
          <w:sz w:val="20"/>
          <w:szCs w:val="20"/>
        </w:rPr>
        <w:t>will gain the most from CSR communication.</w:t>
      </w:r>
    </w:p>
    <w:p w14:paraId="7635D77C" w14:textId="77777777" w:rsidR="00660DF4" w:rsidRPr="00A02380" w:rsidRDefault="00660DF4" w:rsidP="004726BE">
      <w:pPr>
        <w:pStyle w:val="BodyText"/>
        <w:spacing w:line="276" w:lineRule="auto"/>
        <w:ind w:left="0" w:firstLine="360"/>
        <w:jc w:val="both"/>
        <w:rPr>
          <w:rFonts w:ascii="Merriweather Light" w:hAnsi="Merriweather Light" w:cstheme="minorHAnsi"/>
          <w:sz w:val="20"/>
          <w:szCs w:val="20"/>
        </w:rPr>
      </w:pPr>
    </w:p>
    <w:bookmarkEnd w:id="2"/>
    <w:bookmarkEnd w:id="3"/>
    <w:p w14:paraId="77F81D10" w14:textId="77777777" w:rsidR="004726BE" w:rsidRPr="004726BE" w:rsidRDefault="004726BE" w:rsidP="004726BE">
      <w:pPr>
        <w:pStyle w:val="Heading2"/>
        <w:spacing w:before="0" w:after="60" w:line="276" w:lineRule="auto"/>
        <w:jc w:val="both"/>
        <w:rPr>
          <w:rFonts w:ascii="Merriweather Light" w:eastAsia="Times New Roman" w:hAnsi="Merriweather Light" w:cs="Arial"/>
          <w:b/>
          <w:bCs/>
          <w:color w:val="011893"/>
          <w:sz w:val="22"/>
          <w:szCs w:val="22"/>
          <w:lang w:eastAsia="en-GB"/>
        </w:rPr>
      </w:pPr>
      <w:r w:rsidRPr="004726BE">
        <w:rPr>
          <w:rFonts w:ascii="Merriweather Light" w:eastAsia="Times New Roman" w:hAnsi="Merriweather Light" w:cs="Arial"/>
          <w:b/>
          <w:bCs/>
          <w:color w:val="011893"/>
          <w:sz w:val="22"/>
          <w:szCs w:val="22"/>
          <w:lang w:eastAsia="en-GB"/>
        </w:rPr>
        <w:t xml:space="preserve">Hypothesis </w:t>
      </w:r>
    </w:p>
    <w:p w14:paraId="047FD3F8" w14:textId="77777777" w:rsidR="004726BE" w:rsidRPr="00A02380" w:rsidRDefault="004726BE" w:rsidP="004726BE">
      <w:pPr>
        <w:pStyle w:val="BodyText"/>
        <w:spacing w:line="276" w:lineRule="auto"/>
        <w:ind w:left="0"/>
        <w:jc w:val="both"/>
        <w:rPr>
          <w:rFonts w:ascii="Merriweather Light" w:hAnsi="Merriweather Light" w:cstheme="minorHAnsi"/>
          <w:sz w:val="20"/>
          <w:szCs w:val="20"/>
        </w:rPr>
      </w:pPr>
      <w:r w:rsidRPr="004726BE">
        <w:rPr>
          <w:rFonts w:ascii="Merriweather Light" w:hAnsi="Merriweather Light" w:cstheme="minorHAnsi"/>
          <w:b/>
          <w:bCs/>
          <w:color w:val="011893"/>
          <w:sz w:val="20"/>
          <w:szCs w:val="20"/>
        </w:rPr>
        <w:t>H1:</w:t>
      </w:r>
      <w:r w:rsidRPr="004726BE">
        <w:rPr>
          <w:rFonts w:ascii="Merriweather Light" w:hAnsi="Merriweather Light" w:cstheme="minorHAnsi"/>
          <w:color w:val="011893"/>
          <w:spacing w:val="-3"/>
          <w:sz w:val="20"/>
          <w:szCs w:val="20"/>
        </w:rPr>
        <w:t xml:space="preserve"> </w:t>
      </w:r>
      <w:r w:rsidRPr="00A02380">
        <w:rPr>
          <w:rFonts w:ascii="Merriweather Light" w:hAnsi="Merriweather Light" w:cstheme="minorHAnsi"/>
          <w:sz w:val="20"/>
          <w:szCs w:val="20"/>
        </w:rPr>
        <w:t>Social</w:t>
      </w:r>
      <w:r w:rsidRPr="00A02380">
        <w:rPr>
          <w:rFonts w:ascii="Merriweather Light" w:hAnsi="Merriweather Light" w:cstheme="minorHAnsi"/>
          <w:spacing w:val="-2"/>
          <w:sz w:val="20"/>
          <w:szCs w:val="20"/>
        </w:rPr>
        <w:t xml:space="preserve"> </w:t>
      </w:r>
      <w:r w:rsidRPr="00A02380">
        <w:rPr>
          <w:rFonts w:ascii="Merriweather Light" w:hAnsi="Merriweather Light" w:cstheme="minorHAnsi"/>
          <w:sz w:val="20"/>
          <w:szCs w:val="20"/>
        </w:rPr>
        <w:t>media</w:t>
      </w:r>
      <w:r w:rsidRPr="00A02380">
        <w:rPr>
          <w:rFonts w:ascii="Merriweather Light" w:hAnsi="Merriweather Light" w:cstheme="minorHAnsi"/>
          <w:spacing w:val="-3"/>
          <w:sz w:val="20"/>
          <w:szCs w:val="20"/>
        </w:rPr>
        <w:t xml:space="preserve"> </w:t>
      </w:r>
      <w:r w:rsidRPr="00A02380">
        <w:rPr>
          <w:rFonts w:ascii="Merriweather Light" w:hAnsi="Merriweather Light" w:cstheme="minorHAnsi"/>
          <w:sz w:val="20"/>
          <w:szCs w:val="20"/>
        </w:rPr>
        <w:t>directly</w:t>
      </w:r>
      <w:r w:rsidRPr="00A02380">
        <w:rPr>
          <w:rFonts w:ascii="Merriweather Light" w:hAnsi="Merriweather Light" w:cstheme="minorHAnsi"/>
          <w:spacing w:val="-2"/>
          <w:sz w:val="20"/>
          <w:szCs w:val="20"/>
        </w:rPr>
        <w:t xml:space="preserve"> </w:t>
      </w:r>
      <w:r w:rsidRPr="00A02380">
        <w:rPr>
          <w:rFonts w:ascii="Merriweather Light" w:hAnsi="Merriweather Light" w:cstheme="minorHAnsi"/>
          <w:sz w:val="20"/>
          <w:szCs w:val="20"/>
        </w:rPr>
        <w:t>and</w:t>
      </w:r>
      <w:r w:rsidRPr="00A02380">
        <w:rPr>
          <w:rFonts w:ascii="Merriweather Light" w:hAnsi="Merriweather Light" w:cstheme="minorHAnsi"/>
          <w:spacing w:val="-3"/>
          <w:sz w:val="20"/>
          <w:szCs w:val="20"/>
        </w:rPr>
        <w:t xml:space="preserve"> </w:t>
      </w:r>
      <w:r w:rsidRPr="00A02380">
        <w:rPr>
          <w:rFonts w:ascii="Merriweather Light" w:hAnsi="Merriweather Light" w:cstheme="minorHAnsi"/>
          <w:sz w:val="20"/>
          <w:szCs w:val="20"/>
        </w:rPr>
        <w:t>positively</w:t>
      </w:r>
      <w:r w:rsidRPr="00A02380">
        <w:rPr>
          <w:rFonts w:ascii="Merriweather Light" w:hAnsi="Merriweather Light" w:cstheme="minorHAnsi"/>
          <w:spacing w:val="-3"/>
          <w:sz w:val="20"/>
          <w:szCs w:val="20"/>
        </w:rPr>
        <w:t xml:space="preserve"> </w:t>
      </w:r>
      <w:r w:rsidRPr="00A02380">
        <w:rPr>
          <w:rFonts w:ascii="Merriweather Light" w:hAnsi="Merriweather Light" w:cstheme="minorHAnsi"/>
          <w:sz w:val="20"/>
          <w:szCs w:val="20"/>
        </w:rPr>
        <w:t>impact CSR</w:t>
      </w:r>
      <w:r w:rsidRPr="00A02380">
        <w:rPr>
          <w:rFonts w:ascii="Merriweather Light" w:hAnsi="Merriweather Light" w:cstheme="minorHAnsi"/>
          <w:spacing w:val="-3"/>
          <w:sz w:val="20"/>
          <w:szCs w:val="20"/>
        </w:rPr>
        <w:t xml:space="preserve"> </w:t>
      </w:r>
      <w:r w:rsidRPr="00A02380">
        <w:rPr>
          <w:rFonts w:ascii="Merriweather Light" w:hAnsi="Merriweather Light" w:cstheme="minorHAnsi"/>
          <w:sz w:val="20"/>
          <w:szCs w:val="20"/>
        </w:rPr>
        <w:t>Communication</w:t>
      </w:r>
      <w:r w:rsidRPr="00A02380">
        <w:rPr>
          <w:rFonts w:ascii="Merriweather Light" w:hAnsi="Merriweather Light" w:cstheme="minorHAnsi"/>
          <w:spacing w:val="-3"/>
          <w:sz w:val="20"/>
          <w:szCs w:val="20"/>
        </w:rPr>
        <w:t xml:space="preserve"> </w:t>
      </w:r>
      <w:r w:rsidRPr="00A02380">
        <w:rPr>
          <w:rFonts w:ascii="Merriweather Light" w:hAnsi="Merriweather Light" w:cstheme="minorHAnsi"/>
          <w:sz w:val="20"/>
          <w:szCs w:val="20"/>
        </w:rPr>
        <w:t>factors.</w:t>
      </w:r>
    </w:p>
    <w:p w14:paraId="36F38CF6" w14:textId="292F53D7" w:rsidR="004726BE" w:rsidRDefault="004726BE" w:rsidP="004726BE">
      <w:pPr>
        <w:pStyle w:val="BodyText"/>
        <w:spacing w:line="276" w:lineRule="auto"/>
        <w:ind w:left="0"/>
        <w:jc w:val="both"/>
        <w:rPr>
          <w:rFonts w:ascii="Merriweather Light" w:hAnsi="Merriweather Light" w:cstheme="minorHAnsi"/>
          <w:spacing w:val="-1"/>
          <w:sz w:val="20"/>
          <w:szCs w:val="20"/>
        </w:rPr>
      </w:pPr>
      <w:r w:rsidRPr="004726BE">
        <w:rPr>
          <w:rFonts w:ascii="Merriweather Light" w:hAnsi="Merriweather Light" w:cstheme="minorHAnsi"/>
          <w:b/>
          <w:bCs/>
          <w:color w:val="011893"/>
          <w:sz w:val="20"/>
          <w:szCs w:val="20"/>
        </w:rPr>
        <w:t>H2:</w:t>
      </w:r>
      <w:r w:rsidRPr="004726BE">
        <w:rPr>
          <w:rFonts w:ascii="Merriweather Light" w:hAnsi="Merriweather Light" w:cstheme="minorHAnsi"/>
          <w:color w:val="011893"/>
          <w:sz w:val="20"/>
          <w:szCs w:val="20"/>
        </w:rPr>
        <w:t xml:space="preserve"> </w:t>
      </w:r>
      <w:r w:rsidRPr="00A02380">
        <w:rPr>
          <w:rFonts w:ascii="Merriweather Light" w:hAnsi="Merriweather Light" w:cstheme="minorHAnsi"/>
          <w:spacing w:val="-1"/>
          <w:sz w:val="20"/>
          <w:szCs w:val="20"/>
        </w:rPr>
        <w:t>CSR communication significantly influences corporate financial performance</w:t>
      </w:r>
      <w:r>
        <w:rPr>
          <w:rFonts w:ascii="Merriweather Light" w:hAnsi="Merriweather Light" w:cstheme="minorHAnsi"/>
          <w:spacing w:val="-1"/>
          <w:sz w:val="20"/>
          <w:szCs w:val="20"/>
        </w:rPr>
        <w:t>.</w:t>
      </w:r>
    </w:p>
    <w:p w14:paraId="6DB9F3BA" w14:textId="77777777" w:rsidR="004726BE" w:rsidRPr="00A02380" w:rsidRDefault="004726BE" w:rsidP="004726BE">
      <w:pPr>
        <w:pStyle w:val="BodyText"/>
        <w:spacing w:line="276" w:lineRule="auto"/>
        <w:ind w:left="0"/>
        <w:jc w:val="both"/>
        <w:rPr>
          <w:rFonts w:ascii="Merriweather Light" w:hAnsi="Merriweather Light" w:cstheme="minorHAnsi"/>
          <w:spacing w:val="-1"/>
          <w:sz w:val="20"/>
          <w:szCs w:val="20"/>
        </w:rPr>
      </w:pPr>
    </w:p>
    <w:p w14:paraId="3873983A" w14:textId="48C2BB10" w:rsidR="004726BE" w:rsidRDefault="00BB1535" w:rsidP="004726BE">
      <w:pPr>
        <w:pStyle w:val="Heading2"/>
        <w:spacing w:before="0" w:after="60" w:line="276" w:lineRule="auto"/>
        <w:jc w:val="both"/>
        <w:rPr>
          <w:rFonts w:ascii="Merriweather Light" w:eastAsia="Times New Roman" w:hAnsi="Merriweather Light" w:cs="Arial"/>
          <w:b/>
          <w:bCs/>
          <w:color w:val="011893"/>
          <w:sz w:val="22"/>
          <w:szCs w:val="22"/>
          <w:lang w:eastAsia="en-GB"/>
        </w:rPr>
      </w:pPr>
      <w:r>
        <w:rPr>
          <w:noProof/>
        </w:rPr>
        <mc:AlternateContent>
          <mc:Choice Requires="wpg">
            <w:drawing>
              <wp:anchor distT="0" distB="0" distL="114300" distR="114300" simplePos="0" relativeHeight="251681792" behindDoc="1" locked="0" layoutInCell="1" allowOverlap="1" wp14:anchorId="33CB8A5E" wp14:editId="29D08A3A">
                <wp:simplePos x="0" y="0"/>
                <wp:positionH relativeFrom="margin">
                  <wp:align>left</wp:align>
                </wp:positionH>
                <wp:positionV relativeFrom="paragraph">
                  <wp:posOffset>361315</wp:posOffset>
                </wp:positionV>
                <wp:extent cx="2857500" cy="2409824"/>
                <wp:effectExtent l="76200" t="57150" r="76200" b="67310"/>
                <wp:wrapTight wrapText="bothSides">
                  <wp:wrapPolygon edited="0">
                    <wp:start x="-432" y="-512"/>
                    <wp:lineTo x="-576" y="5807"/>
                    <wp:lineTo x="1296" y="8027"/>
                    <wp:lineTo x="1728" y="16226"/>
                    <wp:lineTo x="6336" y="16226"/>
                    <wp:lineTo x="6336" y="22033"/>
                    <wp:lineTo x="11520" y="22033"/>
                    <wp:lineTo x="11520" y="16226"/>
                    <wp:lineTo x="12240" y="16226"/>
                    <wp:lineTo x="17424" y="13834"/>
                    <wp:lineTo x="17568" y="8027"/>
                    <wp:lineTo x="22032" y="5295"/>
                    <wp:lineTo x="22032" y="2562"/>
                    <wp:lineTo x="21744" y="0"/>
                    <wp:lineTo x="21744" y="-512"/>
                    <wp:lineTo x="-432" y="-512"/>
                  </wp:wrapPolygon>
                </wp:wrapTight>
                <wp:docPr id="1" name="Group 1"/>
                <wp:cNvGraphicFramePr/>
                <a:graphic xmlns:a="http://schemas.openxmlformats.org/drawingml/2006/main">
                  <a:graphicData uri="http://schemas.microsoft.com/office/word/2010/wordprocessingGroup">
                    <wpg:wgp>
                      <wpg:cNvGrpSpPr/>
                      <wpg:grpSpPr>
                        <a:xfrm>
                          <a:off x="0" y="0"/>
                          <a:ext cx="2857500" cy="2409824"/>
                          <a:chOff x="0" y="0"/>
                          <a:chExt cx="2857500" cy="2409824"/>
                        </a:xfrm>
                      </wpg:grpSpPr>
                      <wps:wsp>
                        <wps:cNvPr id="3" name="Rectangle 3"/>
                        <wps:cNvSpPr/>
                        <wps:spPr>
                          <a:xfrm>
                            <a:off x="0" y="0"/>
                            <a:ext cx="714375" cy="552450"/>
                          </a:xfrm>
                          <a:prstGeom prst="rect">
                            <a:avLst/>
                          </a:prstGeom>
                          <a:solidFill>
                            <a:schemeClr val="accent1">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31D49449" w14:textId="77777777" w:rsidR="00BB1535" w:rsidRPr="00BE1333" w:rsidRDefault="00BB1535" w:rsidP="00BB1535">
                              <w:pPr>
                                <w:jc w:val="center"/>
                                <w:rPr>
                                  <w:rFonts w:ascii="Merriweather Light" w:hAnsi="Merriweather Light"/>
                                  <w:b/>
                                  <w:bCs/>
                                  <w:color w:val="011893"/>
                                  <w:sz w:val="22"/>
                                  <w:szCs w:val="22"/>
                                </w:rPr>
                              </w:pPr>
                              <w:r w:rsidRPr="00BE1333">
                                <w:rPr>
                                  <w:rFonts w:ascii="Merriweather Light" w:hAnsi="Merriweather Light"/>
                                  <w:b/>
                                  <w:bCs/>
                                  <w:color w:val="011893"/>
                                  <w:sz w:val="22"/>
                                  <w:szCs w:val="22"/>
                                </w:rPr>
                                <w:t>Social Media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685925" y="0"/>
                            <a:ext cx="1171575" cy="552450"/>
                          </a:xfrm>
                          <a:prstGeom prst="rect">
                            <a:avLst/>
                          </a:prstGeom>
                          <a:solidFill>
                            <a:schemeClr val="accent1">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434990E8" w14:textId="77777777" w:rsidR="00BB1535" w:rsidRPr="00BE1333" w:rsidRDefault="00BB1535" w:rsidP="00BB1535">
                              <w:pPr>
                                <w:jc w:val="center"/>
                                <w:rPr>
                                  <w:rFonts w:ascii="Merriweather Light" w:hAnsi="Merriweather Light"/>
                                  <w:b/>
                                  <w:bCs/>
                                  <w:color w:val="011893"/>
                                  <w:sz w:val="20"/>
                                  <w:szCs w:val="20"/>
                                </w:rPr>
                              </w:pPr>
                              <w:r w:rsidRPr="00BE1333">
                                <w:rPr>
                                  <w:rFonts w:ascii="Merriweather Light" w:hAnsi="Merriweather Light"/>
                                  <w:b/>
                                  <w:bCs/>
                                  <w:color w:val="011893"/>
                                  <w:sz w:val="20"/>
                                  <w:szCs w:val="20"/>
                                </w:rPr>
                                <w:t>Corporate Financial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rot="16200000">
                            <a:off x="-23812" y="938212"/>
                            <a:ext cx="2390775" cy="552450"/>
                          </a:xfrm>
                          <a:prstGeom prst="rect">
                            <a:avLst/>
                          </a:prstGeom>
                          <a:solidFill>
                            <a:schemeClr val="accent1">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7848ECB2" w14:textId="77777777" w:rsidR="00BB1535" w:rsidRPr="00BE1333" w:rsidRDefault="00BB1535" w:rsidP="00BB1535">
                              <w:pPr>
                                <w:jc w:val="center"/>
                                <w:rPr>
                                  <w:rFonts w:ascii="Merriweather Light" w:hAnsi="Merriweather Light"/>
                                  <w:b/>
                                  <w:bCs/>
                                  <w:color w:val="011893"/>
                                  <w:sz w:val="22"/>
                                  <w:szCs w:val="22"/>
                                </w:rPr>
                              </w:pPr>
                              <w:r>
                                <w:rPr>
                                  <w:rFonts w:ascii="Merriweather Light" w:hAnsi="Merriweather Light"/>
                                  <w:b/>
                                  <w:bCs/>
                                  <w:color w:val="011893"/>
                                  <w:sz w:val="22"/>
                                  <w:szCs w:val="22"/>
                                </w:rPr>
                                <w:t>CSR Communication Factors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Bent-Up Arrow 9"/>
                        <wps:cNvSpPr/>
                        <wps:spPr>
                          <a:xfrm>
                            <a:off x="1476375" y="561975"/>
                            <a:ext cx="819150" cy="1095375"/>
                          </a:xfrm>
                          <a:prstGeom prst="bentUpArrow">
                            <a:avLst>
                              <a:gd name="adj1" fmla="val 5870"/>
                              <a:gd name="adj2" fmla="val 9348"/>
                              <a:gd name="adj3" fmla="val 1369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Bent-Up Arrow 10"/>
                        <wps:cNvSpPr/>
                        <wps:spPr>
                          <a:xfrm rot="5400000">
                            <a:off x="38100" y="809625"/>
                            <a:ext cx="1095375" cy="638175"/>
                          </a:xfrm>
                          <a:prstGeom prst="bentUpArrow">
                            <a:avLst>
                              <a:gd name="adj1" fmla="val 5870"/>
                              <a:gd name="adj2" fmla="val 9348"/>
                              <a:gd name="adj3" fmla="val 1369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CB8A5E" id="Group 1" o:spid="_x0000_s1026" style="position:absolute;left:0;text-align:left;margin-left:0;margin-top:28.45pt;width:225pt;height:189.75pt;z-index:-251634688;mso-position-horizontal:left;mso-position-horizontal-relative:margin" coordsize="28575,24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">
                <v:rect id="Rectangle 3" o:spid="_x0000_s1027" style="position:absolute;width:7143;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" fillcolor="#b4c6e7 [1300]" stroked="f" strokeweight="1pt">
                  <v:shadow on="t" color="black" opacity="20971f" offset="0,2.2pt"/>
                  <v:textbox>
                    <w:txbxContent>
                      <w:p w14:paraId="31D49449" w14:textId="77777777" w:rsidR="00BB1535" w:rsidRPr="00BE1333" w:rsidRDefault="00BB1535" w:rsidP="00BB1535">
                        <w:pPr>
                          <w:jc w:val="center"/>
                          <w:rPr>
                            <w:rFonts w:ascii="Merriweather Light" w:hAnsi="Merriweather Light"/>
                            <w:b/>
                            <w:bCs/>
                            <w:color w:val="011893"/>
                            <w:sz w:val="22"/>
                            <w:szCs w:val="22"/>
                          </w:rPr>
                        </w:pPr>
                        <w:r w:rsidRPr="00BE1333">
                          <w:rPr>
                            <w:rFonts w:ascii="Merriweather Light" w:hAnsi="Merriweather Light"/>
                            <w:b/>
                            <w:bCs/>
                            <w:color w:val="011893"/>
                            <w:sz w:val="22"/>
                            <w:szCs w:val="22"/>
                          </w:rPr>
                          <w:t>Social Media</w:t>
                        </w:r>
                      </w:p>
                    </w:txbxContent>
                  </v:textbox>
                </v:rect>
                <v:rect id="Rectangle 4" o:spid="_x0000_s1028" style="position:absolute;left:16859;width:11716;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" fillcolor="#b4c6e7 [1300]" stroked="f" strokeweight="1pt">
                  <v:shadow on="t" color="black" opacity="20971f" offset="0,2.2pt"/>
                  <v:textbox>
                    <w:txbxContent>
                      <w:p w14:paraId="434990E8" w14:textId="77777777" w:rsidR="00BB1535" w:rsidRPr="00BE1333" w:rsidRDefault="00BB1535" w:rsidP="00BB1535">
                        <w:pPr>
                          <w:jc w:val="center"/>
                          <w:rPr>
                            <w:rFonts w:ascii="Merriweather Light" w:hAnsi="Merriweather Light"/>
                            <w:b/>
                            <w:bCs/>
                            <w:color w:val="011893"/>
                            <w:sz w:val="20"/>
                            <w:szCs w:val="20"/>
                          </w:rPr>
                        </w:pPr>
                        <w:r w:rsidRPr="00BE1333">
                          <w:rPr>
                            <w:rFonts w:ascii="Merriweather Light" w:hAnsi="Merriweather Light"/>
                            <w:b/>
                            <w:bCs/>
                            <w:color w:val="011893"/>
                            <w:sz w:val="20"/>
                            <w:szCs w:val="20"/>
                          </w:rPr>
                          <w:t>Corporate Financial Performance</w:t>
                        </w:r>
                      </w:p>
                    </w:txbxContent>
                  </v:textbox>
                </v:rect>
                <v:rect id="Rectangle 5" o:spid="_x0000_s1029" style="position:absolute;left:-238;top:9381;width:23908;height:55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" fillcolor="#b4c6e7 [1300]" stroked="f" strokeweight="1pt">
                  <v:shadow on="t" color="black" opacity="20971f" offset="0,2.2pt"/>
                  <v:textbox>
                    <w:txbxContent>
                      <w:p w14:paraId="7848ECB2" w14:textId="77777777" w:rsidR="00BB1535" w:rsidRPr="00BE1333" w:rsidRDefault="00BB1535" w:rsidP="00BB1535">
                        <w:pPr>
                          <w:jc w:val="center"/>
                          <w:rPr>
                            <w:rFonts w:ascii="Merriweather Light" w:hAnsi="Merriweather Light"/>
                            <w:b/>
                            <w:bCs/>
                            <w:color w:val="011893"/>
                            <w:sz w:val="22"/>
                            <w:szCs w:val="22"/>
                          </w:rPr>
                        </w:pPr>
                        <w:r>
                          <w:rPr>
                            <w:rFonts w:ascii="Merriweather Light" w:hAnsi="Merriweather Light"/>
                            <w:b/>
                            <w:bCs/>
                            <w:color w:val="011893"/>
                            <w:sz w:val="22"/>
                            <w:szCs w:val="22"/>
                          </w:rPr>
                          <w:t>CSR Communication Factors</w:t>
                        </w:r>
                      </w:p>
                    </w:txbxContent>
                  </v:textbox>
                </v:rect>
                <v:shape id="Bent-Up Arrow 9" o:spid="_x0000_s1030" style="position:absolute;left:14763;top:5619;width:8192;height:10954;visibility:visible;mso-wrap-style:square;v-text-anchor:middle" coordsize="819150,109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" path="m,1047291r718534,l718534,112191r-52532,l742576,r76574,112191l766618,112191r,983184l,1095375r,-48084xe" fillcolor="#4472c4 [3204]" strokecolor="#1f3763 [1604]" strokeweight="1pt">
                  <v:stroke joinstyle="miter"/>
                  <v:path arrowok="t" o:connecttype="custom" o:connectlocs="0,1047291;718534,1047291;718534,112191;666002,112191;742576,0;819150,112191;766618,112191;766618,1095375;0,1095375;0,1047291" o:connectangles="0,0,0,0,0,0,0,0,0,0"/>
                </v:shape>
                <v:shape id="Bent-Up Arrow 10" o:spid="_x0000_s1031" style="position:absolute;left:381;top:8096;width:10954;height:6381;rotation:90;visibility:visible;mso-wrap-style:square;v-text-anchor:middle" coordsize="1095375,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" path="m,600714r1016988,l1016988,87404r-40926,l1035718,r59657,87404l1054449,87404r,550771l,638175,,600714xe" fillcolor="#4472c4 [3204]" strokecolor="#1f3763 [1604]" strokeweight="1pt">
                  <v:stroke joinstyle="miter"/>
                  <v:path arrowok="t" o:connecttype="custom" o:connectlocs="0,600714;1016988,600714;1016988,87404;976062,87404;1035718,0;1095375,87404;1054449,87404;1054449,638175;0,638175;0,600714" o:connectangles="0,0,0,0,0,0,0,0,0,0"/>
                </v:shape>
                <w10:wrap type="tight" anchorx="margin"/>
              </v:group>
            </w:pict>
          </mc:Fallback>
        </mc:AlternateContent>
      </w:r>
      <w:r w:rsidR="004726BE" w:rsidRPr="004726BE">
        <w:rPr>
          <w:rFonts w:ascii="Merriweather Light" w:eastAsia="Times New Roman" w:hAnsi="Merriweather Light" w:cs="Arial"/>
          <w:b/>
          <w:bCs/>
          <w:color w:val="011893"/>
          <w:sz w:val="22"/>
          <w:szCs w:val="22"/>
          <w:lang w:eastAsia="en-GB"/>
        </w:rPr>
        <w:t>Research Model</w:t>
      </w:r>
    </w:p>
    <w:p w14:paraId="350ED504" w14:textId="18CD6BAC" w:rsidR="00BE1333" w:rsidRDefault="00BE1333" w:rsidP="00BE1333"/>
    <w:p w14:paraId="3147F9E7" w14:textId="0505C0D1" w:rsidR="00BE1333" w:rsidRPr="00BE1333" w:rsidRDefault="00BE1333" w:rsidP="00BE1333"/>
    <w:p w14:paraId="45A3C143" w14:textId="3BA1205F" w:rsidR="004726BE" w:rsidRDefault="004726BE" w:rsidP="004726BE">
      <w:pPr>
        <w:spacing w:line="276" w:lineRule="auto"/>
        <w:jc w:val="both"/>
        <w:rPr>
          <w:rFonts w:ascii="Merriweather Light" w:hAnsi="Merriweather Light" w:cstheme="minorHAnsi"/>
          <w:noProof/>
          <w:sz w:val="20"/>
          <w:szCs w:val="20"/>
        </w:rPr>
      </w:pPr>
      <w:bookmarkStart w:id="6" w:name="_Toc7741913"/>
      <w:bookmarkStart w:id="7" w:name="_Toc97586046"/>
      <w:bookmarkStart w:id="8" w:name="_Toc111545539"/>
      <w:bookmarkStart w:id="9" w:name="_Toc501695896"/>
    </w:p>
    <w:p w14:paraId="715E3747" w14:textId="4E8C0417" w:rsidR="00BE1333" w:rsidRDefault="00BE1333" w:rsidP="004726BE">
      <w:pPr>
        <w:spacing w:line="276" w:lineRule="auto"/>
        <w:jc w:val="both"/>
        <w:rPr>
          <w:rFonts w:ascii="Merriweather Light" w:hAnsi="Merriweather Light" w:cstheme="minorHAnsi"/>
          <w:noProof/>
          <w:sz w:val="20"/>
          <w:szCs w:val="20"/>
        </w:rPr>
      </w:pPr>
    </w:p>
    <w:p w14:paraId="1C17F45F" w14:textId="6DD74AA6" w:rsidR="00BE1333" w:rsidRDefault="00BE1333" w:rsidP="004726BE">
      <w:pPr>
        <w:spacing w:line="276" w:lineRule="auto"/>
        <w:jc w:val="both"/>
        <w:rPr>
          <w:rFonts w:ascii="Merriweather Light" w:hAnsi="Merriweather Light" w:cstheme="minorHAnsi"/>
          <w:noProof/>
          <w:sz w:val="20"/>
          <w:szCs w:val="20"/>
        </w:rPr>
      </w:pPr>
    </w:p>
    <w:p w14:paraId="57A3C6C3" w14:textId="6BB41895" w:rsidR="00BE1333" w:rsidRDefault="00BE1333" w:rsidP="004726BE">
      <w:pPr>
        <w:spacing w:line="276" w:lineRule="auto"/>
        <w:jc w:val="both"/>
        <w:rPr>
          <w:rFonts w:ascii="Merriweather Light" w:hAnsi="Merriweather Light" w:cstheme="minorHAnsi"/>
          <w:noProof/>
          <w:sz w:val="20"/>
          <w:szCs w:val="20"/>
        </w:rPr>
      </w:pPr>
    </w:p>
    <w:p w14:paraId="2BE84AD5" w14:textId="44A5DD2A" w:rsidR="00BE1333" w:rsidRDefault="00BE1333" w:rsidP="004726BE">
      <w:pPr>
        <w:spacing w:line="276" w:lineRule="auto"/>
        <w:jc w:val="both"/>
        <w:rPr>
          <w:rFonts w:ascii="Merriweather Light" w:hAnsi="Merriweather Light" w:cstheme="minorHAnsi"/>
          <w:noProof/>
          <w:sz w:val="20"/>
          <w:szCs w:val="20"/>
        </w:rPr>
      </w:pPr>
    </w:p>
    <w:p w14:paraId="2A227BF6" w14:textId="5BDE6ADA" w:rsidR="00BE1333" w:rsidRDefault="00BE1333" w:rsidP="004726BE">
      <w:pPr>
        <w:spacing w:line="276" w:lineRule="auto"/>
        <w:jc w:val="both"/>
        <w:rPr>
          <w:rFonts w:ascii="Merriweather Light" w:hAnsi="Merriweather Light" w:cstheme="minorHAnsi"/>
          <w:noProof/>
          <w:sz w:val="20"/>
          <w:szCs w:val="20"/>
        </w:rPr>
      </w:pPr>
    </w:p>
    <w:p w14:paraId="7EB61498" w14:textId="021644FB" w:rsidR="00BE1333" w:rsidRDefault="00BE1333" w:rsidP="004726BE">
      <w:pPr>
        <w:spacing w:line="276" w:lineRule="auto"/>
        <w:jc w:val="both"/>
        <w:rPr>
          <w:rFonts w:ascii="Merriweather Light" w:hAnsi="Merriweather Light" w:cstheme="minorHAnsi"/>
          <w:noProof/>
          <w:sz w:val="20"/>
          <w:szCs w:val="20"/>
        </w:rPr>
      </w:pPr>
    </w:p>
    <w:p w14:paraId="2B6101D1" w14:textId="26B21E51" w:rsidR="00BE1333" w:rsidRDefault="00BE1333" w:rsidP="004726BE">
      <w:pPr>
        <w:spacing w:line="276" w:lineRule="auto"/>
        <w:jc w:val="both"/>
        <w:rPr>
          <w:rFonts w:ascii="Merriweather Light" w:hAnsi="Merriweather Light" w:cstheme="minorHAnsi"/>
          <w:noProof/>
          <w:sz w:val="20"/>
          <w:szCs w:val="20"/>
        </w:rPr>
      </w:pPr>
    </w:p>
    <w:p w14:paraId="1A41C299" w14:textId="0B37D139" w:rsidR="00BE1333" w:rsidRDefault="00BE1333" w:rsidP="004726BE">
      <w:pPr>
        <w:spacing w:line="276" w:lineRule="auto"/>
        <w:jc w:val="both"/>
        <w:rPr>
          <w:rFonts w:ascii="Merriweather Light" w:hAnsi="Merriweather Light" w:cstheme="minorHAnsi"/>
          <w:noProof/>
          <w:sz w:val="20"/>
          <w:szCs w:val="20"/>
        </w:rPr>
      </w:pPr>
    </w:p>
    <w:p w14:paraId="3639F92A" w14:textId="6953DEED" w:rsidR="004726BE" w:rsidRDefault="004726BE" w:rsidP="00BB1535">
      <w:pPr>
        <w:spacing w:line="276" w:lineRule="auto"/>
        <w:jc w:val="center"/>
        <w:rPr>
          <w:rFonts w:ascii="Merriweather Light" w:hAnsi="Merriweather Light" w:cstheme="minorHAnsi"/>
          <w:b/>
          <w:color w:val="000000"/>
          <w:sz w:val="20"/>
          <w:szCs w:val="20"/>
        </w:rPr>
      </w:pPr>
      <w:r w:rsidRPr="00E57C73">
        <w:rPr>
          <w:rFonts w:ascii="Merriweather Light" w:hAnsi="Merriweather Light" w:cstheme="minorHAnsi"/>
          <w:b/>
          <w:color w:val="011893"/>
          <w:sz w:val="20"/>
          <w:szCs w:val="20"/>
        </w:rPr>
        <w:t xml:space="preserve">Figure 1: </w:t>
      </w:r>
      <w:r w:rsidRPr="00E57C73">
        <w:rPr>
          <w:rFonts w:ascii="Merriweather Light" w:hAnsi="Merriweather Light" w:cstheme="minorHAnsi"/>
          <w:bCs/>
          <w:color w:val="000000"/>
          <w:sz w:val="20"/>
          <w:szCs w:val="20"/>
        </w:rPr>
        <w:t>Research Model</w:t>
      </w:r>
    </w:p>
    <w:p w14:paraId="519C0822" w14:textId="77777777" w:rsidR="00E57C73" w:rsidRPr="00A02380" w:rsidRDefault="00E57C73" w:rsidP="004726BE">
      <w:pPr>
        <w:spacing w:line="276" w:lineRule="auto"/>
        <w:jc w:val="both"/>
        <w:rPr>
          <w:rFonts w:ascii="Merriweather Light" w:hAnsi="Merriweather Light" w:cstheme="minorHAnsi"/>
          <w:b/>
          <w:sz w:val="20"/>
          <w:szCs w:val="20"/>
        </w:rPr>
      </w:pPr>
    </w:p>
    <w:p w14:paraId="69188138" w14:textId="1342F934" w:rsidR="004726BE" w:rsidRPr="00E57C73" w:rsidRDefault="00E57C73" w:rsidP="00E57C73">
      <w:pPr>
        <w:pStyle w:val="Heading2"/>
        <w:spacing w:before="0" w:after="60" w:line="276" w:lineRule="auto"/>
        <w:jc w:val="both"/>
        <w:rPr>
          <w:rFonts w:ascii="Merriweather Light" w:eastAsia="Times New Roman" w:hAnsi="Merriweather Light" w:cs="Arial"/>
          <w:b/>
          <w:bCs/>
          <w:color w:val="011893"/>
          <w:sz w:val="22"/>
          <w:szCs w:val="22"/>
          <w:lang w:eastAsia="en-GB"/>
        </w:rPr>
      </w:pPr>
      <w:r w:rsidRPr="00E57C73">
        <w:rPr>
          <w:rFonts w:ascii="Merriweather Light" w:eastAsia="Times New Roman" w:hAnsi="Merriweather Light" w:cs="Arial"/>
          <w:b/>
          <w:bCs/>
          <w:color w:val="011893"/>
          <w:sz w:val="22"/>
          <w:szCs w:val="22"/>
          <w:lang w:eastAsia="en-GB"/>
        </w:rPr>
        <w:t>Methodology</w:t>
      </w:r>
      <w:bookmarkEnd w:id="6"/>
      <w:bookmarkEnd w:id="7"/>
      <w:bookmarkEnd w:id="8"/>
      <w:bookmarkEnd w:id="9"/>
    </w:p>
    <w:p w14:paraId="6C222DB0" w14:textId="77777777" w:rsidR="004726BE" w:rsidRPr="00A02380" w:rsidRDefault="004726BE" w:rsidP="00E57C73">
      <w:pPr>
        <w:pStyle w:val="BodyText"/>
        <w:spacing w:after="120" w:line="276" w:lineRule="auto"/>
        <w:ind w:left="0"/>
        <w:jc w:val="both"/>
        <w:rPr>
          <w:rFonts w:ascii="Merriweather Light" w:hAnsi="Merriweather Light" w:cstheme="minorHAnsi"/>
          <w:sz w:val="20"/>
          <w:szCs w:val="20"/>
        </w:rPr>
      </w:pPr>
      <w:bookmarkStart w:id="10" w:name="_Toc111545543"/>
      <w:r w:rsidRPr="00A02380">
        <w:rPr>
          <w:rFonts w:ascii="Merriweather Light" w:hAnsi="Merriweather Light" w:cstheme="minorHAnsi"/>
          <w:color w:val="000000"/>
          <w:sz w:val="20"/>
          <w:szCs w:val="20"/>
        </w:rPr>
        <w:t>This study has five research questions;</w:t>
      </w:r>
      <w:r w:rsidRPr="00A02380">
        <w:rPr>
          <w:rFonts w:ascii="Merriweather Light" w:hAnsi="Merriweather Light" w:cstheme="minorHAnsi"/>
          <w:b/>
          <w:bCs/>
          <w:sz w:val="20"/>
          <w:szCs w:val="20"/>
        </w:rPr>
        <w:t xml:space="preserve"> </w:t>
      </w:r>
      <w:r w:rsidRPr="00A02380">
        <w:rPr>
          <w:rFonts w:ascii="Merriweather Light" w:hAnsi="Merriweather Light" w:cstheme="minorHAnsi"/>
          <w:bCs/>
          <w:sz w:val="20"/>
          <w:szCs w:val="20"/>
        </w:rPr>
        <w:t>Firstly,</w:t>
      </w:r>
      <w:r w:rsidRPr="00A02380">
        <w:rPr>
          <w:rFonts w:ascii="Merriweather Light" w:hAnsi="Merriweather Light" w:cstheme="minorHAnsi"/>
          <w:sz w:val="20"/>
          <w:szCs w:val="20"/>
        </w:rPr>
        <w:t xml:space="preserve"> what is the influence of social media on CSR communication factors and the firm's financial performance? Secondly, what is the influence of CSR communication factors on CSR financial performance? So, it is important to identify an appropriate research design to answer the above questions.</w:t>
      </w:r>
    </w:p>
    <w:p w14:paraId="763FABCD" w14:textId="77777777" w:rsidR="004726BE" w:rsidRPr="00A02380" w:rsidRDefault="004726BE" w:rsidP="00E57C73">
      <w:pPr>
        <w:pStyle w:val="BodyText"/>
        <w:spacing w:after="120" w:line="276" w:lineRule="auto"/>
        <w:ind w:left="0" w:firstLine="360"/>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The study started with a detailed review of existing literature on CSR communication factors and the corporate financial performance of the firm; then, it led to the development of the hypotheses. This research design of the present study is descriptive to develop knowledge based on empirical testing of the relationship between the variables based on these hypotheses.                                                                                                                       </w:t>
      </w:r>
    </w:p>
    <w:p w14:paraId="03AEC2D9" w14:textId="5AFBF652" w:rsidR="004726BE" w:rsidRPr="00A02380" w:rsidRDefault="004726BE" w:rsidP="00E57C73">
      <w:pPr>
        <w:autoSpaceDE w:val="0"/>
        <w:autoSpaceDN w:val="0"/>
        <w:adjustRightInd w:val="0"/>
        <w:spacing w:after="120" w:line="276" w:lineRule="auto"/>
        <w:ind w:firstLine="360"/>
        <w:jc w:val="both"/>
        <w:rPr>
          <w:rFonts w:ascii="Merriweather Light" w:hAnsi="Merriweather Light" w:cstheme="minorHAnsi"/>
          <w:color w:val="000000"/>
          <w:sz w:val="20"/>
          <w:szCs w:val="20"/>
        </w:rPr>
      </w:pPr>
      <w:bookmarkStart w:id="11" w:name="_Toc111545544"/>
      <w:bookmarkEnd w:id="10"/>
      <w:r w:rsidRPr="00A02380">
        <w:rPr>
          <w:rFonts w:ascii="Merriweather Light" w:hAnsi="Merriweather Light" w:cstheme="minorHAnsi"/>
          <w:color w:val="000000"/>
          <w:sz w:val="20"/>
          <w:szCs w:val="20"/>
        </w:rPr>
        <w:t xml:space="preserve">There are two approaches to research; inductive and deductive. The inductive approach is used for theory building and developing the </w:t>
      </w:r>
      <w:r w:rsidR="00B726A4">
        <w:rPr>
          <w:rFonts w:ascii="Merriweather Light" w:hAnsi="Merriweather Light" w:cstheme="minorHAnsi"/>
          <w:color w:val="000000"/>
          <w:sz w:val="20"/>
          <w:szCs w:val="20"/>
        </w:rPr>
        <w:t>h</w:t>
      </w:r>
      <w:r w:rsidR="00B726A4" w:rsidRPr="00A02380">
        <w:rPr>
          <w:rFonts w:ascii="Merriweather Light" w:hAnsi="Merriweather Light" w:cstheme="minorHAnsi"/>
          <w:color w:val="000000"/>
          <w:sz w:val="20"/>
          <w:szCs w:val="20"/>
        </w:rPr>
        <w:t>ypothesis</w:t>
      </w:r>
      <w:r w:rsidRPr="00A02380">
        <w:rPr>
          <w:rFonts w:ascii="Merriweather Light" w:hAnsi="Merriweather Light" w:cstheme="minorHAnsi"/>
          <w:color w:val="000000"/>
          <w:sz w:val="20"/>
          <w:szCs w:val="20"/>
        </w:rPr>
        <w:t xml:space="preserve">. The deductive approach tests the theory and hypothesis </w:t>
      </w:r>
      <w:r w:rsidRPr="00A02380">
        <w:rPr>
          <w:rFonts w:ascii="Merriweather Light" w:hAnsi="Merriweather Light" w:cstheme="minorHAnsi"/>
          <w:sz w:val="20"/>
          <w:szCs w:val="20"/>
        </w:rPr>
        <w:t xml:space="preserve">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{"citationItems":[{"id":"ITEM-1","itemData":{"DOI":"10.1108/IJOPM-10-2020-0698","ISSN":"17586593","abstract":"Purpose: In recent years, many companies have decided to decertify from their previously adopted corporate social responsibility (CSR) standards. The aim of this paper is to explore the phenomenon by focusing on the most important auditable CSR standard: Social Accountability 8000 (SA8000). Design/methodology/approach: First, an event study is performed on a dataset composed of 136 SA8000 decertified public listed companies to analyse the possible relationship between certification, decertification and firms’ operating performance. Second, the authors shed light on the differences between 94 SA8000 (still) certified and the abovementioned 136 decertified firms. Finally, 10 interviews are conducted with decertified firms in the dataset to deepen the outcomes of the previous analyses. Findings: The results show that, despite an initial positive effect in terms of sales and profitability, decertified companies experienced a reduction in productivity and profitability in the years following the certification, while positive outcomes emerged after the decertification. The study also highlights that certified and decertified firms differ in terms of home country, industry and labour intensity. Originality/value: The paper contributes to the literature by opening the debate on an important but unexplored research area: the decertification from the most popular CSR standard, i.e. SA8000, and its relationship with firms' performance. In doing this, it also highlights the main differences between decertified and certified companies.","author":[{"dropping-particle":"","family":"Podrecca","given":"Matteo","non-dropping-particle":"","parse-names":false,"suffix":""},{"dropping-particle":"","family":"Orzes","given":"Guido","non-dropping-particle":"","parse-names":false,"suffix":""},{"dropping-particle":"","family":"Sartor","given":"Marco","non-dropping-particle":"","parse-names":false,"suffix":""},{"dropping-particle":"","family":"Nassimbeni","given":"Guido","non-dropping-particle":"","parse-names":false,"suffix":""}],"container-title":"International Journal of Operations and Production Management","id":"ITEM-1","issue":"13","issued":{"date-parts":[["2021"]]},"page":"100-126","publisher":"Emerald Group Holdings Ltd.","title":"The impact of abandoning social responsibility certifications: evidence from the decertification of SA8000 standard","type":"article-journal","volume":"41"},"uris":["http://www.mendeley.com/documents/?uuid=73a2c061-5fd6-310d-a401-c51fd308c8da"]},{"id":"ITEM-2","itemData":{"DOI":"10.1108/JKM-04-2018-0267","ISSN":"17587484","abstract":"Purpose: Assuming that corporate social responsibility (CSR) is “a process of accumulating knowledge and experience” (Tang et al., 2012, p. 1298), this paper aims to investigate whether and how CSR knowledge (Asif et al., 2013; Kim, 2017) affects financial performance in the European banking industry. Design/methodology/approach: The empirical research analyses a panel of 72 banks from 20 European countries over seven years (2009-2015). The hypotheses were tested using fixed effects regression analysis and the two-stage Heckman model (1976) to address endogeneity bias. Findings: The findings of this work are twofold. First, consistent with the concept of knowledge absorptive capacity (Cohen and Levinthal, 1990), the internal CSR of banks (Kim et al., 2010) positively affects citizenship performance (Peterson, 2004a). Second, in line with the reputational effect of CSR (Margolis et al., 2009; Bushman and Wittenberg-Moerman, 2012), citizenship performance is a positive predictor of a bank’s financial performance. Practical implications: From a knowledge-based perspective, the analysis shows that accrued internal CSR knowledge plays a key role in implementing effective CSR programs for external stakeholders. Moreover, this study shows how CSR engagement in external initiatives can improve a bank’s competitiveness because of the relationship between citizenship performance and the positive reputation of a bank. Social implications: The management of CSR initiatives may favor the sharing of knowledge and creation of trust relationships among banks and internal and external stakeholders. CSR knowledge contributes to expanded value creation for both society and banks. Originality/value: The knowledge management perspective of CSR provides new insights into the sustainability of banks’ business models and contributes to advancing the debate on the governance modes and effects of CSR. Moreover, the CSR perspective offers additional opportunities for addressing the challenges associated with sharing tacit knowledge within and outside of organizations.","author":[{"dropping-particle":"","family":"Gangi","given":"Francesco","non-dropping-particle":"","parse-names":false,"suffix":""},{"dropping-particle":"","family":"Mustilli","given":"Mario","non-dropping-particle":"","parse-names":false,"suffix":""},{"dropping-particle":"","family":"Varrone","given":"Nicola","non-dropping-particle":"","parse-names":false,"suffix":""}],"container-title":"Journal of Knowledge Management","id":"ITEM-2","issue":"1","issued":{"date-parts":[["2019","1","23"]]},"page":"110-134","publisher":"Emerald Group Holdings Ltd.","title":"The impact of corporate social responsibility (CSR) knowledge on corporate financial performance: evidence from the European banking industry","type":"article-journal","volume":"23"},"uris":["http://www.mendeley.com/documents/?uuid=865d6521-ad22-33a7-8e84-9d47ac71ae2d"]}],"mendeley":{"formattedCitation":"(Gangi et al., 2019; Podrecca et al., 2021)","plainTextFormattedCitation":"(Gangi et al., 2019; Podrecca et al., 2021)","previouslyFormattedCitation":"(Gangi et al., 2019; Podrecca et al., 2021)"},"properties":{"noteIndex":0},"schema":"https://github.com/citation-style-language/schema/raw/master/csl-citation.json"}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(Gangi et al., 2019; Podrecca et al., </w:t>
      </w:r>
      <w:hyperlink w:anchor="Gangi" w:history="1">
        <w:r w:rsidRPr="00660DF4">
          <w:rPr>
            <w:rStyle w:val="Hyperlink"/>
            <w:rFonts w:ascii="Merriweather Light" w:hAnsi="Merriweather Light" w:cstheme="minorHAnsi"/>
            <w:noProof/>
            <w:sz w:val="20"/>
            <w:szCs w:val="20"/>
          </w:rPr>
          <w:t>2021</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color w:val="000000"/>
          <w:sz w:val="20"/>
          <w:szCs w:val="20"/>
        </w:rPr>
        <w:t>. The inductive approach is termed qualitative, and the deductive approach is quantitative. The qualitative approach results are used for understanding behavior and exploring some problems. It is time-consuming, and results need to be verifiable.</w:t>
      </w:r>
    </w:p>
    <w:p w14:paraId="6275BD8C" w14:textId="54A26EDD" w:rsidR="004726BE" w:rsidRPr="00A02380" w:rsidRDefault="004726BE" w:rsidP="00E57C73">
      <w:pPr>
        <w:autoSpaceDE w:val="0"/>
        <w:autoSpaceDN w:val="0"/>
        <w:adjustRightInd w:val="0"/>
        <w:spacing w:after="120" w:line="276" w:lineRule="auto"/>
        <w:ind w:firstLine="360"/>
        <w:jc w:val="both"/>
        <w:rPr>
          <w:rFonts w:ascii="Merriweather Light" w:hAnsi="Merriweather Light" w:cstheme="minorHAnsi"/>
          <w:color w:val="000000"/>
          <w:sz w:val="20"/>
          <w:szCs w:val="20"/>
        </w:rPr>
      </w:pPr>
      <w:r w:rsidRPr="00A02380">
        <w:rPr>
          <w:rFonts w:ascii="Merriweather Light" w:hAnsi="Merriweather Light" w:cstheme="minorHAnsi"/>
          <w:color w:val="000000"/>
          <w:sz w:val="20"/>
          <w:szCs w:val="20"/>
        </w:rPr>
        <w:t xml:space="preserve">In contrast, the quantitative approach is time-saving and used to verify some results. The results are generalizable and verifiable. However, it does not provide depth experience of a problem </w:t>
      </w:r>
      <w:r w:rsidRPr="00A02380">
        <w:rPr>
          <w:rFonts w:ascii="Merriweather Light" w:hAnsi="Merriweather Light" w:cstheme="minorHAnsi"/>
          <w:color w:val="000000"/>
          <w:sz w:val="20"/>
          <w:szCs w:val="20"/>
        </w:rPr>
        <w:fldChar w:fldCharType="begin" w:fldLock="1"/>
      </w:r>
      <w:r w:rsidRPr="00A02380">
        <w:rPr>
          <w:rFonts w:ascii="Merriweather Light" w:hAnsi="Merriweather Light" w:cstheme="minorHAnsi"/>
          <w:color w:val="000000"/>
          <w:sz w:val="20"/>
          <w:szCs w:val="20"/>
        </w:rPr>
        <w:instrText>ADDIN CSL_CITATION {"citationItems":[{"id":"ITEM-1","itemData":{"DOI":"10.1108/JGR-08-2015-0015","ISSN":"20412576","abstract":"Purpose: This paper aims to deliberate on how corporate social responsibility (CSR) ought to be reconceived for better educational outcomes. It suggests that there are win-win opportunities for corporations and national governments to nurture human capital and address any skill gaps and mismatches in the labour market. Design/methodology/approach: The businesses’ involvement in setting curriculum programmes may help to improve the quality and effectiveness of extant educational systems. This contribution reports on how different organisations are already engaging in responsible behaviours with varying degrees of intensity and success across many contexts. Findings: Many firms are often training and sponsoring individuals to pursue further studies for their career advancement. It also indicated that there are businesses that are engaging in laudable behaviours to attract prospective employees. Moreover, this paper contends that the provision of education, professional development and training will boost the employees’ morale and job satisfaction, which may, in turn, lead to lower staff turnover rates and greater productivity levels in workplace environments. Social implications: This contribution implies that organisational cultures and their business ethos could be attuned with the governments’ educational policies to actively respond to the diverse needs of today’s learners and tomorrow’s human resources. Originality/value: There is a business case for CSR as the corporations’ strategies realign their economic success with societal progress. Arguably, there is potential that such responsible behaviours can bring reputational benefits, enhance the firms’ image among external stakeholders and could lead to a favourable climate of trust and cooperation within the company itself.","author":[{"dropping-particle":"","family":"Camilleri","given":"Mark Anthony","non-dropping-particle":"","parse-names":false,"suffix":""}],"container-title":"Journal of Global Responsibility","id":"ITEM-1","issue":"1","issued":{"date-parts":[["2016","5","9"]]},"page":"56-71","publisher":"Emerald Group Holdings Ltd.","title":"Corporate sustainability and responsibility toward education","type":"article-journal","volume":"7"},"uris":["http://www.mendeley.com/documents/?uuid=7a4ac90c-e350-3bd8-9732-cc0ece9c041b"]}],"mendeley":{"formattedCitation":"(Camilleri, 2016)","plainTextFormattedCitation":"(Camilleri, 2016)","previouslyFormattedCitation":"(Camilleri, 2016)"},"properties":{"noteIndex":0},"schema":"https://github.com/citation-style-language/schema/raw/master/csl-citation.json"}</w:instrText>
      </w:r>
      <w:r w:rsidRPr="00A02380">
        <w:rPr>
          <w:rFonts w:ascii="Merriweather Light" w:hAnsi="Merriweather Light" w:cstheme="minorHAnsi"/>
          <w:color w:val="000000"/>
          <w:sz w:val="20"/>
          <w:szCs w:val="20"/>
        </w:rPr>
        <w:fldChar w:fldCharType="separate"/>
      </w:r>
      <w:r w:rsidRPr="00A02380">
        <w:rPr>
          <w:rFonts w:ascii="Merriweather Light" w:hAnsi="Merriweather Light" w:cstheme="minorHAnsi"/>
          <w:noProof/>
          <w:color w:val="000000"/>
          <w:sz w:val="20"/>
          <w:szCs w:val="20"/>
        </w:rPr>
        <w:t xml:space="preserve">(Camilleri, </w:t>
      </w:r>
      <w:hyperlink w:anchor="Camilleri" w:history="1">
        <w:r w:rsidRPr="00660DF4">
          <w:rPr>
            <w:rStyle w:val="Hyperlink"/>
            <w:rFonts w:ascii="Merriweather Light" w:hAnsi="Merriweather Light" w:cstheme="minorHAnsi"/>
            <w:noProof/>
            <w:sz w:val="20"/>
            <w:szCs w:val="20"/>
          </w:rPr>
          <w:t>2016</w:t>
        </w:r>
      </w:hyperlink>
      <w:r w:rsidRPr="00A02380">
        <w:rPr>
          <w:rFonts w:ascii="Merriweather Light" w:hAnsi="Merriweather Light" w:cstheme="minorHAnsi"/>
          <w:noProof/>
          <w:color w:val="000000"/>
          <w:sz w:val="20"/>
          <w:szCs w:val="20"/>
        </w:rPr>
        <w:t>)</w:t>
      </w:r>
      <w:r w:rsidRPr="00A02380">
        <w:rPr>
          <w:rFonts w:ascii="Merriweather Light" w:hAnsi="Merriweather Light" w:cstheme="minorHAnsi"/>
          <w:color w:val="000000"/>
          <w:sz w:val="20"/>
          <w:szCs w:val="20"/>
        </w:rPr>
        <w:fldChar w:fldCharType="end"/>
      </w:r>
      <w:r w:rsidRPr="00A02380">
        <w:rPr>
          <w:rFonts w:ascii="Merriweather Light" w:hAnsi="Merriweather Light" w:cstheme="minorHAnsi"/>
          <w:color w:val="000000"/>
          <w:sz w:val="20"/>
          <w:szCs w:val="20"/>
        </w:rPr>
        <w:t>. There is a need to choose one research approach as both have advantages and disadvantages. Researchers argued that you only need a few past studies in an inductive approach. However, for the deductive approach, you need past data.</w:t>
      </w:r>
    </w:p>
    <w:p w14:paraId="59F57EF9" w14:textId="5099DA33" w:rsidR="004726BE" w:rsidRDefault="004726BE" w:rsidP="00E57C73">
      <w:pPr>
        <w:autoSpaceDE w:val="0"/>
        <w:autoSpaceDN w:val="0"/>
        <w:adjustRightInd w:val="0"/>
        <w:spacing w:line="276" w:lineRule="auto"/>
        <w:ind w:firstLine="360"/>
        <w:jc w:val="both"/>
        <w:rPr>
          <w:rFonts w:ascii="Merriweather Light" w:hAnsi="Merriweather Light" w:cstheme="minorHAnsi"/>
          <w:color w:val="000000"/>
          <w:sz w:val="20"/>
          <w:szCs w:val="20"/>
        </w:rPr>
      </w:pPr>
      <w:r w:rsidRPr="00A02380">
        <w:rPr>
          <w:rFonts w:ascii="Merriweather Light" w:hAnsi="Merriweather Light" w:cstheme="minorHAnsi"/>
          <w:color w:val="000000"/>
          <w:sz w:val="20"/>
          <w:szCs w:val="20"/>
        </w:rPr>
        <w:t>This framework was followed by data analysis and statistical interpretations while drawing conclusions or making inferences about the selected population of the study at one point in time.</w:t>
      </w:r>
    </w:p>
    <w:p w14:paraId="3954B89C" w14:textId="77777777" w:rsidR="00E57C73" w:rsidRPr="00A02380" w:rsidRDefault="00E57C73" w:rsidP="00E57C73">
      <w:pPr>
        <w:autoSpaceDE w:val="0"/>
        <w:autoSpaceDN w:val="0"/>
        <w:adjustRightInd w:val="0"/>
        <w:spacing w:line="276" w:lineRule="auto"/>
        <w:ind w:firstLine="360"/>
        <w:jc w:val="both"/>
        <w:rPr>
          <w:rFonts w:ascii="Merriweather Light" w:hAnsi="Merriweather Light" w:cstheme="minorHAnsi"/>
          <w:color w:val="000000"/>
          <w:sz w:val="20"/>
          <w:szCs w:val="20"/>
        </w:rPr>
      </w:pPr>
    </w:p>
    <w:p w14:paraId="3A14EB80" w14:textId="77777777" w:rsidR="004726BE" w:rsidRPr="00E57C73" w:rsidRDefault="004726BE" w:rsidP="00E57C73">
      <w:pPr>
        <w:pStyle w:val="Heading2"/>
        <w:spacing w:before="0" w:after="60" w:line="276" w:lineRule="auto"/>
        <w:jc w:val="both"/>
        <w:rPr>
          <w:rFonts w:ascii="Merriweather Light" w:eastAsia="Times New Roman" w:hAnsi="Merriweather Light" w:cs="Arial"/>
          <w:b/>
          <w:bCs/>
          <w:color w:val="011893"/>
          <w:sz w:val="20"/>
          <w:szCs w:val="20"/>
          <w:lang w:eastAsia="en-GB"/>
        </w:rPr>
      </w:pPr>
      <w:bookmarkStart w:id="12" w:name="_Toc111545547"/>
      <w:bookmarkStart w:id="13" w:name="_Toc97586054"/>
      <w:bookmarkStart w:id="14" w:name="_Toc97586050"/>
      <w:bookmarkEnd w:id="11"/>
      <w:r w:rsidRPr="00E57C73">
        <w:rPr>
          <w:rFonts w:ascii="Merriweather Light" w:eastAsia="Times New Roman" w:hAnsi="Merriweather Light" w:cs="Arial"/>
          <w:b/>
          <w:bCs/>
          <w:color w:val="011893"/>
          <w:sz w:val="20"/>
          <w:szCs w:val="20"/>
          <w:lang w:eastAsia="en-GB"/>
        </w:rPr>
        <w:lastRenderedPageBreak/>
        <w:t>Population and Sampling</w:t>
      </w:r>
      <w:bookmarkEnd w:id="12"/>
      <w:r w:rsidRPr="00E57C73">
        <w:rPr>
          <w:rFonts w:ascii="Merriweather Light" w:eastAsia="Times New Roman" w:hAnsi="Merriweather Light" w:cs="Arial"/>
          <w:b/>
          <w:bCs/>
          <w:color w:val="011893"/>
          <w:sz w:val="20"/>
          <w:szCs w:val="20"/>
          <w:lang w:eastAsia="en-GB"/>
        </w:rPr>
        <w:t xml:space="preserve"> </w:t>
      </w:r>
      <w:bookmarkEnd w:id="13"/>
    </w:p>
    <w:p w14:paraId="4F9B6D8F" w14:textId="77777777" w:rsidR="004726BE" w:rsidRPr="00A02380" w:rsidRDefault="004726BE" w:rsidP="00E57C73">
      <w:pPr>
        <w:pStyle w:val="BodyText"/>
        <w:spacing w:after="120" w:line="276" w:lineRule="auto"/>
        <w:ind w:left="0"/>
        <w:jc w:val="both"/>
        <w:rPr>
          <w:rFonts w:ascii="Merriweather Light" w:hAnsi="Merriweather Light" w:cstheme="minorHAnsi"/>
          <w:sz w:val="20"/>
          <w:szCs w:val="20"/>
        </w:rPr>
      </w:pPr>
      <w:r w:rsidRPr="00A02380">
        <w:rPr>
          <w:rFonts w:ascii="Merriweather Light" w:hAnsi="Merriweather Light" w:cstheme="minorHAnsi"/>
          <w:sz w:val="20"/>
          <w:szCs w:val="20"/>
        </w:rPr>
        <w:t>Finding the appropriate sample size is critical for any survey-based research (</w:t>
      </w:r>
      <w:proofErr w:type="spellStart"/>
      <w:r w:rsidRPr="00A02380">
        <w:rPr>
          <w:rFonts w:ascii="Merriweather Light" w:hAnsi="Merriweather Light" w:cstheme="minorHAnsi"/>
          <w:sz w:val="20"/>
          <w:szCs w:val="20"/>
        </w:rPr>
        <w:t>Lechuga</w:t>
      </w:r>
      <w:proofErr w:type="spellEnd"/>
      <w:r w:rsidRPr="00A02380">
        <w:rPr>
          <w:rFonts w:ascii="Merriweather Light" w:hAnsi="Merriweather Light" w:cstheme="minorHAnsi"/>
          <w:sz w:val="20"/>
          <w:szCs w:val="20"/>
        </w:rPr>
        <w:t xml:space="preserve"> Sancho et al., 2018). A sufficiently high sample size is necessary to reduce the overall effect of a sampling mistake. While attempting to reduce the monetary impact of sampling error, it is critical to evaluate the informative capacity of statistical tests.</w:t>
      </w:r>
    </w:p>
    <w:p w14:paraId="18C6DB8C" w14:textId="0F25A153" w:rsidR="004726BE" w:rsidRPr="00A02380" w:rsidRDefault="004726BE" w:rsidP="00E57C73">
      <w:pPr>
        <w:pStyle w:val="BodyText"/>
        <w:spacing w:after="120" w:line="276" w:lineRule="auto"/>
        <w:ind w:left="0" w:firstLine="360"/>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Researchers have traditionally </w:t>
      </w:r>
      <w:r w:rsidR="00B726A4" w:rsidRPr="00A02380">
        <w:rPr>
          <w:rFonts w:ascii="Merriweather Light" w:hAnsi="Merriweather Light" w:cstheme="minorHAnsi"/>
          <w:sz w:val="20"/>
          <w:szCs w:val="20"/>
        </w:rPr>
        <w:t>characteri</w:t>
      </w:r>
      <w:r w:rsidR="00B726A4">
        <w:rPr>
          <w:rFonts w:ascii="Merriweather Light" w:hAnsi="Merriweather Light" w:cstheme="minorHAnsi"/>
          <w:sz w:val="20"/>
          <w:szCs w:val="20"/>
        </w:rPr>
        <w:t>z</w:t>
      </w:r>
      <w:r w:rsidR="00B726A4" w:rsidRPr="00A02380">
        <w:rPr>
          <w:rFonts w:ascii="Merriweather Light" w:hAnsi="Merriweather Light" w:cstheme="minorHAnsi"/>
          <w:sz w:val="20"/>
          <w:szCs w:val="20"/>
        </w:rPr>
        <w:t xml:space="preserve">ed </w:t>
      </w:r>
      <w:r w:rsidRPr="00A02380">
        <w:rPr>
          <w:rFonts w:ascii="Merriweather Light" w:hAnsi="Merriweather Light" w:cstheme="minorHAnsi"/>
          <w:sz w:val="20"/>
          <w:szCs w:val="20"/>
        </w:rPr>
        <w:t>statistical test power as the probability of rejecting the null hypothesis (which claims that there is no significant relationship between variables) when it is false. The [null hypothesis] predicts that [no meaningful relationship between variables is predicted]. This has been shown (</w:t>
      </w:r>
      <w:proofErr w:type="spellStart"/>
      <w:r w:rsidRPr="00A02380">
        <w:rPr>
          <w:rFonts w:ascii="Merriweather Light" w:hAnsi="Merriweather Light" w:cstheme="minorHAnsi"/>
          <w:sz w:val="20"/>
          <w:szCs w:val="20"/>
        </w:rPr>
        <w:t>Hamdoun</w:t>
      </w:r>
      <w:proofErr w:type="spellEnd"/>
      <w:r w:rsidRPr="00A02380">
        <w:rPr>
          <w:rFonts w:ascii="Merriweather Light" w:hAnsi="Merriweather Light" w:cstheme="minorHAnsi"/>
          <w:sz w:val="20"/>
          <w:szCs w:val="20"/>
        </w:rPr>
        <w:t xml:space="preserve"> et al., </w:t>
      </w:r>
      <w:hyperlink w:anchor="Hamdoun" w:history="1">
        <w:r w:rsidRPr="00660DF4">
          <w:rPr>
            <w:rStyle w:val="Hyperlink"/>
            <w:rFonts w:ascii="Merriweather Light" w:hAnsi="Merriweather Light" w:cstheme="minorHAnsi"/>
            <w:sz w:val="20"/>
            <w:szCs w:val="20"/>
          </w:rPr>
          <w:t>2022</w:t>
        </w:r>
      </w:hyperlink>
      <w:r w:rsidRPr="00A02380">
        <w:rPr>
          <w:rFonts w:ascii="Merriweather Light" w:hAnsi="Merriweather Light" w:cstheme="minorHAnsi"/>
          <w:sz w:val="20"/>
          <w:szCs w:val="20"/>
        </w:rPr>
        <w:t>). The researchers are almost unanimous in their belief that the greater the sample size, the more accurate the findings will be (</w:t>
      </w:r>
      <w:proofErr w:type="spellStart"/>
      <w:r w:rsidRPr="00A02380">
        <w:rPr>
          <w:rFonts w:ascii="Merriweather Light" w:hAnsi="Merriweather Light" w:cstheme="minorHAnsi"/>
          <w:sz w:val="20"/>
          <w:szCs w:val="20"/>
        </w:rPr>
        <w:t>Elmaghrabi</w:t>
      </w:r>
      <w:proofErr w:type="spellEnd"/>
      <w:r w:rsidRPr="00A02380">
        <w:rPr>
          <w:rFonts w:ascii="Merriweather Light" w:hAnsi="Merriweather Light" w:cstheme="minorHAnsi"/>
          <w:sz w:val="20"/>
          <w:szCs w:val="20"/>
        </w:rPr>
        <w:t xml:space="preserve">, </w:t>
      </w:r>
      <w:hyperlink w:anchor="Elmaghrabi" w:history="1">
        <w:r w:rsidRPr="00660DF4">
          <w:rPr>
            <w:rStyle w:val="Hyperlink"/>
            <w:rFonts w:ascii="Merriweather Light" w:hAnsi="Merriweather Light" w:cstheme="minorHAnsi"/>
            <w:sz w:val="20"/>
            <w:szCs w:val="20"/>
          </w:rPr>
          <w:t>2021</w:t>
        </w:r>
      </w:hyperlink>
      <w:r w:rsidRPr="00A02380">
        <w:rPr>
          <w:rFonts w:ascii="Merriweather Light" w:hAnsi="Merriweather Light" w:cstheme="minorHAnsi"/>
          <w:sz w:val="20"/>
          <w:szCs w:val="20"/>
        </w:rPr>
        <w:t>).</w:t>
      </w:r>
    </w:p>
    <w:p w14:paraId="1FE1401C" w14:textId="3E7373DA" w:rsidR="004726BE" w:rsidRPr="00A02380" w:rsidRDefault="004726BE" w:rsidP="00E57C73">
      <w:pPr>
        <w:pStyle w:val="BodyText"/>
        <w:spacing w:after="120" w:line="276" w:lineRule="auto"/>
        <w:ind w:left="0" w:firstLine="360"/>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For this research, branch managers from the top five Pakistani telecoms firms were polled using </w:t>
      </w:r>
      <w:r w:rsidR="00B726A4">
        <w:rPr>
          <w:rFonts w:ascii="Merriweather Light" w:hAnsi="Merriweather Light" w:cstheme="minorHAnsi"/>
          <w:sz w:val="20"/>
          <w:szCs w:val="20"/>
        </w:rPr>
        <w:t xml:space="preserve">a </w:t>
      </w:r>
      <w:r w:rsidRPr="00A02380">
        <w:rPr>
          <w:rFonts w:ascii="Merriweather Light" w:hAnsi="Merriweather Light" w:cstheme="minorHAnsi"/>
          <w:sz w:val="20"/>
          <w:szCs w:val="20"/>
        </w:rPr>
        <w:t>mail survey with proportional stratified random selection (as was discussed in chapter 1). Other studies have confirmed those results (</w:t>
      </w:r>
      <w:proofErr w:type="spellStart"/>
      <w:r w:rsidRPr="00A02380">
        <w:rPr>
          <w:rFonts w:ascii="Merriweather Light" w:hAnsi="Merriweather Light" w:cstheme="minorHAnsi"/>
          <w:sz w:val="20"/>
          <w:szCs w:val="20"/>
        </w:rPr>
        <w:t>Sekaran</w:t>
      </w:r>
      <w:proofErr w:type="spellEnd"/>
      <w:r w:rsidRPr="00A02380">
        <w:rPr>
          <w:rFonts w:ascii="Merriweather Light" w:hAnsi="Merriweather Light" w:cstheme="minorHAnsi"/>
          <w:sz w:val="20"/>
          <w:szCs w:val="20"/>
        </w:rPr>
        <w:t xml:space="preserve"> &amp; </w:t>
      </w:r>
      <w:proofErr w:type="spellStart"/>
      <w:r w:rsidRPr="00A02380">
        <w:rPr>
          <w:rFonts w:ascii="Merriweather Light" w:hAnsi="Merriweather Light" w:cstheme="minorHAnsi"/>
          <w:sz w:val="20"/>
          <w:szCs w:val="20"/>
        </w:rPr>
        <w:t>Bougie</w:t>
      </w:r>
      <w:proofErr w:type="spellEnd"/>
      <w:r w:rsidRPr="00A02380">
        <w:rPr>
          <w:rFonts w:ascii="Merriweather Light" w:hAnsi="Merriweather Light" w:cstheme="minorHAnsi"/>
          <w:sz w:val="20"/>
          <w:szCs w:val="20"/>
        </w:rPr>
        <w:t>, 2010). The list of branch locations was produced using data from the websites of Pakistan's five main telecom operators.</w:t>
      </w:r>
    </w:p>
    <w:p w14:paraId="1F653922" w14:textId="68DA372C" w:rsidR="004726BE" w:rsidRDefault="004726BE" w:rsidP="00E57C73">
      <w:pPr>
        <w:pStyle w:val="BodyText"/>
        <w:spacing w:line="276" w:lineRule="auto"/>
        <w:ind w:left="0" w:firstLine="360"/>
        <w:jc w:val="both"/>
        <w:rPr>
          <w:rFonts w:ascii="Merriweather Light" w:hAnsi="Merriweather Light" w:cstheme="minorHAnsi"/>
          <w:sz w:val="20"/>
          <w:szCs w:val="20"/>
        </w:rPr>
      </w:pPr>
      <w:r w:rsidRPr="00A02380">
        <w:rPr>
          <w:rFonts w:ascii="Merriweather Light" w:hAnsi="Merriweather Light" w:cstheme="minorHAnsi"/>
          <w:sz w:val="20"/>
          <w:szCs w:val="20"/>
        </w:rPr>
        <w:t>Because there are just too many cellular outlets to appropriately sample for this study, branch managers from Pakistan's Big Five Telecom Services were deliberately sought out as respondents. Due to the absurdly vast number of cellular offshoots, this study recruited volunteers from Pakistan's four provincial capitals, which have the highest concentration of each offshoot</w:t>
      </w:r>
      <w:r w:rsidR="00E57C73">
        <w:rPr>
          <w:rFonts w:ascii="Merriweather Light" w:hAnsi="Merriweather Light" w:cstheme="minorHAnsi"/>
          <w:sz w:val="20"/>
          <w:szCs w:val="20"/>
        </w:rPr>
        <w:t>.</w:t>
      </w:r>
    </w:p>
    <w:p w14:paraId="0A33FB71" w14:textId="77777777" w:rsidR="00E57C73" w:rsidRPr="00A02380" w:rsidRDefault="00E57C73" w:rsidP="00E57C73">
      <w:pPr>
        <w:pStyle w:val="BodyText"/>
        <w:spacing w:line="276" w:lineRule="auto"/>
        <w:ind w:left="0" w:firstLine="360"/>
        <w:jc w:val="both"/>
        <w:rPr>
          <w:rFonts w:ascii="Merriweather Light" w:hAnsi="Merriweather Light" w:cstheme="minorHAnsi"/>
          <w:sz w:val="20"/>
          <w:szCs w:val="20"/>
        </w:rPr>
      </w:pPr>
    </w:p>
    <w:p w14:paraId="094D815B" w14:textId="77777777" w:rsidR="004726BE" w:rsidRPr="00E57C73" w:rsidRDefault="004726BE" w:rsidP="00E57C73">
      <w:pPr>
        <w:pStyle w:val="Heading2"/>
        <w:spacing w:before="0" w:after="60" w:line="276" w:lineRule="auto"/>
        <w:jc w:val="both"/>
        <w:rPr>
          <w:rFonts w:ascii="Merriweather Light" w:hAnsi="Merriweather Light"/>
          <w:b/>
          <w:bCs/>
          <w:color w:val="011893"/>
          <w:sz w:val="20"/>
          <w:szCs w:val="20"/>
        </w:rPr>
      </w:pPr>
      <w:bookmarkStart w:id="15" w:name="_Toc111545548"/>
      <w:r w:rsidRPr="00E57C73">
        <w:rPr>
          <w:rFonts w:ascii="Merriweather Light" w:hAnsi="Merriweather Light"/>
          <w:b/>
          <w:bCs/>
          <w:color w:val="011893"/>
          <w:sz w:val="20"/>
          <w:szCs w:val="20"/>
        </w:rPr>
        <w:t>Population</w:t>
      </w:r>
      <w:bookmarkEnd w:id="14"/>
      <w:bookmarkEnd w:id="15"/>
    </w:p>
    <w:p w14:paraId="7D6835C7" w14:textId="3FE6FB38" w:rsidR="004726BE" w:rsidRDefault="004726BE" w:rsidP="004726BE">
      <w:pPr>
        <w:spacing w:line="276" w:lineRule="auto"/>
        <w:jc w:val="both"/>
        <w:rPr>
          <w:rFonts w:ascii="Merriweather Light" w:hAnsi="Merriweather Light" w:cstheme="minorHAnsi"/>
          <w:sz w:val="20"/>
          <w:szCs w:val="20"/>
        </w:rPr>
      </w:pPr>
      <w:bookmarkStart w:id="16" w:name="_Toc505474403"/>
      <w:bookmarkStart w:id="17" w:name="_Toc97586053"/>
      <w:bookmarkStart w:id="18" w:name="_Toc111545549"/>
      <w:bookmarkStart w:id="19" w:name="_Toc505474401"/>
      <w:bookmarkStart w:id="20" w:name="_Toc97586051"/>
      <w:r w:rsidRPr="00A02380">
        <w:rPr>
          <w:rFonts w:ascii="Merriweather Light" w:hAnsi="Merriweather Light" w:cstheme="minorHAnsi"/>
          <w:sz w:val="20"/>
          <w:szCs w:val="20"/>
        </w:rPr>
        <w:t xml:space="preserve">The complete set of sampling units under investigation can be termed the study's population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{"citationItems":[{"id":"ITEM-1","itemData":{"DOI":"10.1108/S2043-052320170000011004","ISSN":"20430531","abstract":"The chapter discusses Corporate Social Responsibility (CSR) with appropriate theoretical framings with the intent of creating a deeper understanding and application of CSR theories in Ibero-America's hospitality industry. The research method is a qualitative research approach relying on critical review of scholarly articles on CSR theories. The sourced articles were critically discussed and analysed to fit the needs of the hospitality industry in Ibero- America. The shareholder/agency, stakeholder, legitimacy, instrumental, social contract, conflict, green and communication theories were identified as the eight dominant theories of CSR with diverse applications in the hospitality industry. The CSR theories discussed are not exhaustive, as there are emerging theories that explicate CSR in different contexts. The implication is that better understanding and application of CSR theories would strengthen conceptual, theoretical and empirical research in Ibero-America. The CSR theories are useful sources of information for practitioners for designing corporate CSR policies as well as providing scholars with sound theoretical framework for academic research. The chapter is a novel attempt at bridging theory and practice in the field of CSR, as well enriching the understanding of this concept among both practitioners and scholars in Ibero-America.","author":[{"dropping-particle":"","family":"Raimi","given":"Lukman","non-dropping-particle":"","parse-names":false,"suffix":""}],"container-title":"Developments in Corporate Governance and Responsibility","id":"ITEM-1","issued":{"date-parts":[["2017"]]},"page":"65-88","publisher":"Emerald Group Publishing Ltd.","title":"Understanding theories of corporate social responsibility in the Ibero-American hospitality industry","type":"article-journal","volume":"11"},"uris":["http://www.mendeley.com/documents/?uuid=a1fcfeb0-4182-3588-ba67-5caf55ed6cdb"]}],"mendeley":{"formattedCitation":"(Raimi, 2017)","plainTextFormattedCitation":"(Raimi, 2017)","previouslyFormattedCitation":"(Raimi, 2017)"},"properties":{"noteIndex":0},"schema":"https://github.com/citation-style-language/schema/raw/master/csl-citation.json"}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(Raimi, </w:t>
      </w:r>
      <w:hyperlink w:anchor="Raimi" w:history="1">
        <w:r w:rsidRPr="00660DF4">
          <w:rPr>
            <w:rStyle w:val="Hyperlink"/>
            <w:rFonts w:ascii="Merriweather Light" w:hAnsi="Merriweather Light" w:cstheme="minorHAnsi"/>
            <w:noProof/>
            <w:sz w:val="20"/>
            <w:szCs w:val="20"/>
          </w:rPr>
          <w:t>2017</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 xml:space="preserve">. The study population is based on all the management employees (middle and senior management) of the </w:t>
      </w:r>
      <w:r w:rsidRPr="00A02380">
        <w:rPr>
          <w:rFonts w:ascii="Merriweather Light" w:hAnsi="Merriweather Light" w:cstheme="minorHAnsi"/>
          <w:sz w:val="20"/>
          <w:szCs w:val="20"/>
        </w:rPr>
        <w:t xml:space="preserve">Telecommunication sector in Pakistan who are involved in CSR activities to promote their business reputation and boost their respective organization's financial performance. The study population consists of the employees of the Telecom Service Sector in Pakistan. The unit of analysis for this study will be individual regular employees of the telecom service of Pakistan. </w:t>
      </w:r>
    </w:p>
    <w:p w14:paraId="5B5A69CB" w14:textId="77777777" w:rsidR="00E57C73" w:rsidRPr="00A02380" w:rsidRDefault="00E57C73" w:rsidP="004726BE">
      <w:pPr>
        <w:spacing w:line="276" w:lineRule="auto"/>
        <w:jc w:val="both"/>
        <w:rPr>
          <w:rFonts w:ascii="Merriweather Light" w:hAnsi="Merriweather Light" w:cstheme="minorHAnsi"/>
          <w:sz w:val="20"/>
          <w:szCs w:val="20"/>
        </w:rPr>
      </w:pPr>
    </w:p>
    <w:p w14:paraId="21E41C90" w14:textId="77777777" w:rsidR="004726BE" w:rsidRPr="00E57C73" w:rsidRDefault="004726BE" w:rsidP="00E57C73">
      <w:pPr>
        <w:pStyle w:val="Heading2"/>
        <w:spacing w:before="0" w:after="60" w:line="276" w:lineRule="auto"/>
        <w:jc w:val="both"/>
        <w:rPr>
          <w:rFonts w:ascii="Merriweather Light" w:hAnsi="Merriweather Light"/>
          <w:b/>
          <w:bCs/>
          <w:color w:val="011893"/>
          <w:sz w:val="20"/>
          <w:szCs w:val="20"/>
        </w:rPr>
      </w:pPr>
      <w:bookmarkStart w:id="21" w:name="_Toc97586052"/>
      <w:bookmarkStart w:id="22" w:name="_Toc111545550"/>
      <w:bookmarkEnd w:id="16"/>
      <w:bookmarkEnd w:id="17"/>
      <w:bookmarkEnd w:id="18"/>
      <w:r w:rsidRPr="00E57C73">
        <w:rPr>
          <w:rFonts w:ascii="Merriweather Light" w:hAnsi="Merriweather Light"/>
          <w:b/>
          <w:bCs/>
          <w:color w:val="011893"/>
          <w:sz w:val="20"/>
          <w:szCs w:val="20"/>
        </w:rPr>
        <w:t xml:space="preserve">Sampling </w:t>
      </w:r>
      <w:bookmarkEnd w:id="21"/>
      <w:r w:rsidRPr="00E57C73">
        <w:rPr>
          <w:rFonts w:ascii="Merriweather Light" w:hAnsi="Merriweather Light"/>
          <w:b/>
          <w:bCs/>
          <w:color w:val="011893"/>
          <w:sz w:val="20"/>
          <w:szCs w:val="20"/>
        </w:rPr>
        <w:t>Technique</w:t>
      </w:r>
      <w:bookmarkEnd w:id="22"/>
    </w:p>
    <w:p w14:paraId="47289129" w14:textId="62B62BC4" w:rsidR="004726BE" w:rsidRPr="00A02380" w:rsidRDefault="004726BE" w:rsidP="004726BE">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There are two types of sampling techniques; probability and non-probability. Probability sampling is used when a conclusion about the population is needed from the sample to suit research objectives. It is categorized into five types; simple random, multi-stage, systematic, stratified random sampling, and cluster sampling technique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{"citationItems":[{"id":"ITEM-1","itemData":{"DOI":"10.1108/JOSM-07-2021-0243","ISSN":"17575818","abstract":"Purpose: Corporate social responsibility (CSR) is an increasingly important issue for service brands in fast fashion retailing, as consumers' negative impressions about retailers' CSR activities influence brand experience. Consumers' impressions of CSR efforts arise based on agendas communicated through many channels from different sources. The paper unravels the ‘wrinkles’, i.e. possible mismatches in CSR communication around service brands by studying differences between the three main sources of fast fashion brand-related CSR agendas: Autonomous company communication, news media and social media postings by consumers. Design/methodology/approach: The authors use structural topic modeling (STM) to analyze a corpus of texts focusing on the CSR efforts of three major fast fashion service brands over three years. The texts included 89 items of company communication (CSR reports and press releases), 5,351 news media articles about the brands' CSR efforts and 57,377 consumer generated tweets about the brands. Findings: The STM analysis extracted 26 different CRS-related topics from the texts. Results showed differences in how much the three sources emphasized topics. The brands' own communication puts emphasis on environmental responsibility. News media tended to report on economic issues, treatment of employees and specific CSR-related events. Twitter showed more activity in discussing incident-based and emotionally charged topics. Research limitations/implications: The results feed into the ongoing discussion about how companies' CSR communication relates to communication in the press and among consumers. The authors highlight themes in the individual topics that are emphasized by the three sources, and discuss how CSR themes emerge in the overall transformative agenda. Practical implications: The paper highlights how fast fashion service brands can identify and understand different CSR agendas arising around their brand. Insight into such agendas can be used to tailor the brands' communication strategies. Originality/value: The paper contributes to the understanding of the factors behind fashion service brands' CSR reputation, highlighting how the three main sources of CSR reputation (company reports, news and social media) emphasize different types of agendas.","author":[{"dropping-particle":"","family":"Mickelsson","given":"Jacob","non-dropping-particle":"","parse-names":false,"suffix":""},{"dropping-particle":"","family":"Haren","given":"Joep J.G.M.","non-dropping-particle":"van","parse-names":false,"suffix":""},{"dropping-particle":"","family":"Lemmink","given":"Jos G.A.M.","non-dropping-particle":"","parse-names":false,"suffix":""}],"container-title":"Journal of Service Management","id":"ITEM-1","issued":{"date-parts":[["2022"]]},"publisher":"Emerald Publishing","title":"Wrinkles in a CSR story: mismatched agendas in fast fashion service brands' CSR reputation","type":"article-journal"},"uris":["http://www.mendeley.com/documents/?uuid=3670c226-e3a4-36b2-a57c-dfb209bec48f"]}],"mendeley":{"formattedCitation":"(Mickelsson et al., 2022)","plainTextFormattedCitation":"(Mickelsson et al., 2022)","previouslyFormattedCitation":"(Mickelsson et al., 2022)"},"properties":{"noteIndex":0},"schema":"https://github.com/citation-style-language/schema/raw/master/csl-citation.json"}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(Mickelsson et al., </w:t>
      </w:r>
      <w:hyperlink w:anchor="Mickelsson" w:history="1">
        <w:r w:rsidRPr="00660DF4">
          <w:rPr>
            <w:rStyle w:val="Hyperlink"/>
            <w:rFonts w:ascii="Merriweather Light" w:hAnsi="Merriweather Light" w:cstheme="minorHAnsi"/>
            <w:noProof/>
            <w:sz w:val="20"/>
            <w:szCs w:val="20"/>
          </w:rPr>
          <w:t>2022</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 Non Probability sampling technique uses subjective judgment to select useful units from the population. It is useful when there is less time and cost. Further, there is difficulty in determining the sampling frame. It can be categorized into convenience, judgment, quota, and snowball sampling techniques</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{"citationItems":[{"id":"ITEM-1","itemData":{"DOI":"10.1108/CCIJ-04-2018-0045","ISSN":"13563289","abstract":"Purpose: The purpose of this paper is to discuss the corporate behavior of Volkswagen in its emissions scandal. It describes and analyzes a complex ethics dilemma within the purview of corporate social responsibility (CSR) and corporate sustainability (CS) and examines how this dilemma impacts critical stakeholders, thus offering several “opportunities to learn” for professionals. Design/methodology/approach: The case takes a stakeholder perspective, applying Cavanagh et al. (1981) and Gao’s (2008) ethical judgement framework. It is situated within a qualitative approach to textual analysis. Social actors, topics and evaluative statements were identified and grouped into broader categories. Findings: Six major stakeholders were directly affected by Volkswagen’s behavior: customers, investors and shareholders, the US Environmental Protection Agency, German authorities, European institutions and society-at-large. Stakeholder concerns were condensed into three dominant themes: economic, legal and environmental. According to the ethical judgment framework, Volkswagen corporate behavior showed ethical problems, theoretically demonstrating that under no ethical principle was Volkswagen’s actions justifiable, even under instrumental justifications. Research limitations/implications: The analysis was primarily based on corporate material and news media reporting. Consequently, diverse managers’ prospectives and opinions are not entirely captured. Practical implications: This paper offers several “opportunities to learn” for corporate communication professionals. Originality/value: The focus on stakeholder perspectives allows professionals to take an outside-in approach when evaluating the impact of corporate actions on stakeholders’ interests. The case analysis through Cavanagh et al. (1981) and Gao’s (2008) ethical judgment framework provides a practical theoretical instrument to assess corporate behaviors that can be used both as pre- and post-evaluations of corporate actions on CSR and CS issues.","author":[{"dropping-particle":"","family":"Valentini","given":"Chiara","non-dropping-particle":"","parse-names":false,"suffix":""},{"dropping-particle":"","family":"Kruckeberg","given":"Dean","non-dropping-particle":"","parse-names":false,"suffix":""}],"container-title":"Corporate Communications","id":"ITEM-1","issue":"4","issued":{"date-parts":[["2018","10","9"]]},"page":"528-543","publisher":"Emerald Group Holdings Ltd.","title":"“Walking the environmental responsibility talk” in the automobile industry: An ethics case study of the Volkswagen environmental scandal","type":"article-journal","volume":"23"},"uris":["http://www.mendeley.com/documents/?uuid=0260cba1-57ce-3b9a-a32a-bb6eaffa6ff5"]},{"id":"ITEM-2","itemData":{"DOI":"10.1108/S1548-643520210000018008","ISSN":"19447035","abstract":"The extant literature provides much-needed support to understand marketing accountability and how marketing actions are related to financial performance (FP). However, we have limited understanding of the relationships between marketing actions and firms’ social performance (SP) and environmental performance (EP). Understanding these links is critical to enhancing sustainable FP, SP, and EP. Moreover, the literature provides limited understanding of the measures by which SP and EP may be operationalized, or the data necessary to reach a conclusion. This study bridges these gaps by extensively reviewing the extant literature to offer a set of measures and data sources to operationalize SP and EP, and empirically show their relationships with marketing actions. We find that greenhouse gas (GHG) emission, environmental disclosure score, waste reduction, energy consumption, and recycling are prominent measures of EP, and that social disclosure score, philanthropy or community spending, and diversity of gender and race are prominent measures of SP. The KLD, ASSET4, and Bloomberg are prominent sources of data that can be used to operationalize SP, to which CDP may be added for EP. We also show that marketing actions positively affect EP and SP. This study contributes to the extant literature on SP and EP by identifying measures and data sources and linking marketing actions to both performance types. It contributes to policy development by identifying the importance of EP and SP and how marketing actions can help achieve such performance.","author":[{"dropping-particle":"","family":"Sharma","given":"Amalesh","non-dropping-particle":"","parse-names":false,"suffix":""},{"dropping-particle":"","family":"Borah","given":"Sourav Bikash","non-dropping-particle":"","parse-names":false,"suffix":""},{"dropping-particle":"","family":"Adhikary","given":"Anirban","non-dropping-particle":"","parse-names":false,"suffix":""},{"dropping-particle":"","family":"Haque","given":"Tanjum","non-dropping-particle":"","parse-names":false,"suffix":""}],"container-title":"Review of Marketing Research","id":"ITEM-2","issued":{"date-parts":[["2021"]]},"page":"193-232","publisher":"Emerald Group Holdings Ltd.","title":"Accountability beyond profitability: Understanding the impact of marketing actions on environmental and social performance","type":"article-journal","volume":"18"},"uris":["http://www.mendeley.com/documents/?uuid=137f108d-5fc1-3f3b-b403-f15fb016209a"]}],"mendeley":{"formattedCitation":"(A. Sharma et al., 2021; Valentini &amp; Kruckeberg, 2018)","plainTextFormattedCitation":"(A. Sharma et al., 2021; Valentini &amp; Kruckeberg, 2018)","previouslyFormattedCitation":"(A. Sharma et al., 2021; Valentini &amp; Kruckeberg, 2018)"},"properties":{"noteIndex":0},"schema":"https://github.com/citation-style-language/schema/raw/master/csl-citation.json"}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(A. Sharma et al., 2021; Valentini &amp; Kruckeberg, </w:t>
      </w:r>
      <w:hyperlink w:anchor="Sharma" w:history="1">
        <w:r w:rsidRPr="00660DF4">
          <w:rPr>
            <w:rStyle w:val="Hyperlink"/>
            <w:rFonts w:ascii="Merriweather Light" w:hAnsi="Merriweather Light" w:cstheme="minorHAnsi"/>
            <w:noProof/>
            <w:sz w:val="20"/>
            <w:szCs w:val="20"/>
          </w:rPr>
          <w:t>2018</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w:t>
      </w:r>
    </w:p>
    <w:p w14:paraId="7A3C1593" w14:textId="10643233" w:rsidR="00BE1333" w:rsidRDefault="004726BE" w:rsidP="004726BE">
      <w:pPr>
        <w:pStyle w:val="BodyText"/>
        <w:spacing w:line="276" w:lineRule="auto"/>
        <w:ind w:left="0"/>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The convenience sampling strategy is adopted in this work to choose samples for online surveys. The population of the current study consists of management employees (middle and senior management) in the Telecommunication sector. It is a technique of non-probability sampling. It allows you to select a sample from an infinitely large population. Furthermore, it is appropriate for research aimed at improving population comprehension. Furthermore, this procedure takes less time and effort. Moreover, it is the most cost-effective technique compared to other techniques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{"citationItems":[{"id":"ITEM-1","itemData":{"DOI":"10.1108/S2043-052320180000013006","ISSN":"20430531","abstract":"This chapter investigates how integrated reporting (IR) can contribute to a better corporate social responsibility (CSR) implementation through diffusion and adoption of CSR practices and actually applying the CSR discourse. Based on innovation diffusion theory, we intend to analyse the diffusion and adoption of CSR on the grounds of IR. The purpose of this study is to demonstrate that IR does indeed represent a mean of reducing the gaps between CSR discourse and its implementation. In order to select the most relevant papers in the area of CSR and IR, we applied the method of positive research. Therefore, the review of literature was made by analysing various theoretical and empirical studies. Setting the main coordinates for CSR and IR through theoretical background, we continue with an empirical analysis on 23 companies that voluntarily publish integrated reports. We intend to demonstrate that IR encourages a diffusion of CSR practices, as companies become more interested in their CSR behaviour.","author":[{"dropping-particle":"","family":"Dragu","given":"Ioana Maria","non-dropping-particle":"","parse-names":false,"suffix":""}],"container-title":"Developments in Corporate Governance and Responsibility","id":"ITEM-1","issued":{"date-parts":[["2018"]]},"page":"43-70","publisher":"Emerald Group Publishing Ltd.","title":"Adoption of integrated reporting an attempt to reduce the gaps between csr discourse and its implementation","type":"article-journal","volume":"13"},"uris":["http://www.mendeley.com/documents/?uuid=c6d0efc6-a979-375f-ab78-fc63aa601851"]},{"id":"ITEM-2","itemData":{"DOI":"10.1108/AAAJ-11-2013-1526","ISSN":"09513574","abstract":"Purpose: Based on the principles of stakeholder theory, the purpose of this paper is to explore the relationship between the information reported to stakeholders in corporate social responsibility (CSR) reports and companies’ CSR reputation (CSRR). Design/methodology/approach: The paper implements two regression models to test how reporting to stakeholders influences the CSRR of 84 companies included in the Spanish “MercoEmpresas Responsables” reputation index. Findings: The results demonstrate that greater global reporting intensity to stakeholders does not necessarily mean a better CSRR. Contrarily, the reporting-reputation link depends on the intensity of reporting to specific stakeholders such as investors, regulators and the media. The findings are explained largely by the institutional, political and business characteristics of Spain after the Great Recession of 2007-2008. Research limitations/implications: The evidence reported in this paper confirms stakeholder theory as an adequate framework to understand corporate reporting to stakeholders and its relationship with CSRR. The findings suggest that stakeholder salience (i.e. power, legitimacy and urgency) is a key concept for understanding the reporting-reputation link better in future research. Practical implications: In the light of the findings, companies willing to use reporting to stakeholders as a tool to improve CSRR should establish regular mechanisms for monitoring stakeholder power, legitimacy and urgency, provide complete information to investors in their CSR reports and minimize the amount of detail provided to regulators and the media in their CSR reports. Originality/value: There is still little empirical evidence concerning how the information to stakeholders contained in CSR reports influences the processes by which CSRR is built or destroyed. This paper contributes to the previous literature by describing how the global intensity of reporting to stakeholders and the intensity of reporting to different stakeholder groups relate to CSRR.","author":[{"dropping-particle":"","family":"Pérez","given":"Andrea","non-dropping-particle":"","parse-names":false,"suffix":""},{"dropping-particle":"","family":"López","given":"Carlos","non-dropping-particle":"","parse-names":false,"suffix":""},{"dropping-particle":"","family":"García-De los Salmones","given":"María del Mar","non-dropping-particle":"","parse-names":false,"suffix":""}],"container-title":"Accounting, Auditing and Accountability Journal","id":"ITEM-2","issue":"3","issued":{"date-parts":[["2017"]]},"page":"668-698","publisher":"Emerald Group Publishing Ltd.","title":"An empirical exploration of the link between reporting to stakeholders and corporate social responsibility reputation in the Spanish context","type":"article-journal","volume":"30"},"uris":["http://www.mendeley.com/documents/?uuid=068f87cd-7db3-384b-a61f-64e921dfa771"]}],"mendeley":{"formattedCitation":"(Dragu, 2018; Pérez et al., 2017)","plainTextFormattedCitation":"(Dragu, 2018; Pérez et al., 2017)","previouslyFormattedCitation":"(Dragu, 2018; Pérez et al., 2017)"},"properties":{"noteIndex":0},"schema":"https://github.com/citation-style-language/schema/raw/master/csl-citation.json"}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(Dragu, 2018; Pérez et al., </w:t>
      </w:r>
      <w:hyperlink w:anchor="Dragu" w:history="1">
        <w:r w:rsidRPr="00660DF4">
          <w:rPr>
            <w:rStyle w:val="Hyperlink"/>
            <w:rFonts w:ascii="Merriweather Light" w:hAnsi="Merriweather Light" w:cstheme="minorHAnsi"/>
            <w:noProof/>
            <w:sz w:val="20"/>
            <w:szCs w:val="20"/>
          </w:rPr>
          <w:t>2017</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w:t>
      </w:r>
    </w:p>
    <w:p w14:paraId="7A55AB5B" w14:textId="145ACB75" w:rsidR="004726BE" w:rsidRPr="00A02380" w:rsidRDefault="004726BE" w:rsidP="004726BE">
      <w:pPr>
        <w:pStyle w:val="BodyText"/>
        <w:spacing w:line="276" w:lineRule="auto"/>
        <w:ind w:left="0"/>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 </w:t>
      </w:r>
    </w:p>
    <w:p w14:paraId="439BBD9E" w14:textId="77777777" w:rsidR="004726BE" w:rsidRPr="00E57C73" w:rsidRDefault="004726BE" w:rsidP="00E57C73">
      <w:pPr>
        <w:pStyle w:val="Heading2"/>
        <w:spacing w:before="0" w:after="60" w:line="276" w:lineRule="auto"/>
        <w:jc w:val="both"/>
        <w:rPr>
          <w:rFonts w:ascii="Merriweather Light" w:hAnsi="Merriweather Light"/>
          <w:b/>
          <w:bCs/>
          <w:color w:val="011893"/>
          <w:sz w:val="22"/>
          <w:szCs w:val="22"/>
        </w:rPr>
      </w:pPr>
      <w:bookmarkStart w:id="23" w:name="_Toc116743629"/>
      <w:bookmarkStart w:id="24" w:name="_Toc43880237"/>
      <w:bookmarkStart w:id="25" w:name="_Toc45035048"/>
      <w:bookmarkStart w:id="26" w:name="_Toc81855319"/>
      <w:bookmarkStart w:id="27" w:name="_Toc82765623"/>
      <w:bookmarkEnd w:id="19"/>
      <w:bookmarkEnd w:id="20"/>
      <w:r w:rsidRPr="00E57C73">
        <w:rPr>
          <w:rFonts w:ascii="Merriweather Light" w:hAnsi="Merriweather Light"/>
          <w:b/>
          <w:bCs/>
          <w:color w:val="011893"/>
          <w:sz w:val="22"/>
          <w:szCs w:val="22"/>
        </w:rPr>
        <w:t xml:space="preserve">Data Analysis </w:t>
      </w:r>
    </w:p>
    <w:p w14:paraId="48C61E1B" w14:textId="32C8A938" w:rsidR="004726BE" w:rsidRPr="00E57C73" w:rsidRDefault="004726BE" w:rsidP="00E57C73">
      <w:pPr>
        <w:pStyle w:val="Heading2"/>
        <w:spacing w:before="0" w:after="60" w:line="276" w:lineRule="auto"/>
        <w:jc w:val="both"/>
        <w:rPr>
          <w:rFonts w:ascii="Merriweather Light" w:hAnsi="Merriweather Light"/>
          <w:b/>
          <w:bCs/>
          <w:color w:val="011893"/>
          <w:sz w:val="20"/>
          <w:szCs w:val="20"/>
        </w:rPr>
      </w:pPr>
      <w:r w:rsidRPr="00E57C73">
        <w:rPr>
          <w:rFonts w:ascii="Merriweather Light" w:hAnsi="Merriweather Light"/>
          <w:b/>
          <w:bCs/>
          <w:color w:val="011893"/>
          <w:sz w:val="20"/>
          <w:szCs w:val="20"/>
        </w:rPr>
        <w:t>Multi-Collinearity Tests</w:t>
      </w:r>
      <w:bookmarkEnd w:id="23"/>
    </w:p>
    <w:p w14:paraId="737DC520" w14:textId="77777777" w:rsidR="004726BE" w:rsidRPr="00A02380" w:rsidRDefault="004726BE" w:rsidP="004726BE">
      <w:pPr>
        <w:spacing w:line="276" w:lineRule="auto"/>
        <w:jc w:val="both"/>
        <w:rPr>
          <w:rFonts w:ascii="Merriweather Light" w:hAnsi="Merriweather Light" w:cstheme="minorHAnsi"/>
          <w:sz w:val="20"/>
          <w:szCs w:val="20"/>
          <w:shd w:val="clear" w:color="auto" w:fill="FFFFFF"/>
        </w:rPr>
      </w:pPr>
      <w:r w:rsidRPr="00A02380">
        <w:rPr>
          <w:rFonts w:ascii="Merriweather Light" w:hAnsi="Merriweather Light" w:cstheme="minorHAnsi"/>
          <w:sz w:val="20"/>
          <w:szCs w:val="20"/>
          <w:shd w:val="clear" w:color="auto" w:fill="FFFFFF"/>
        </w:rPr>
        <w:t>When the predictor variables in a study are significantly associated with one another, the study is said to be multi-collinear. Multi-</w:t>
      </w:r>
      <w:r w:rsidRPr="00A02380">
        <w:rPr>
          <w:rFonts w:ascii="Merriweather Light" w:hAnsi="Merriweather Light" w:cstheme="minorHAnsi"/>
          <w:sz w:val="20"/>
          <w:szCs w:val="20"/>
          <w:shd w:val="clear" w:color="auto" w:fill="FFFFFF"/>
        </w:rPr>
        <w:lastRenderedPageBreak/>
        <w:t xml:space="preserve">collinearity may be a stumbling block in any research since it inhibits the regression model from correctly attributing variance in the outcome variable to the right predictor variable. As a result, confused results and inaccurate interpretations result. Furthermore, multi-collinearity is detected by using correlation coefficients and variance inflation factors (VIFs). All predictor variables should be placed into a correlation matrix, and coefficients with magnitudes of 0.80 or above should be sought. To </w:t>
      </w:r>
      <w:r w:rsidRPr="00A02380">
        <w:rPr>
          <w:rFonts w:ascii="Merriweather Light" w:hAnsi="Merriweather Light" w:cstheme="minorHAnsi"/>
          <w:sz w:val="20"/>
          <w:szCs w:val="20"/>
          <w:shd w:val="clear" w:color="auto" w:fill="FFFFFF"/>
        </w:rPr>
        <w:t xml:space="preserve">begin, enter all of the predictor variables into the multi-collinearity test. As a consequence, if the variables are multi-collinear, the researcher may anticipate a high degree of correlation between them. The researcher may also examine the VIF and Tolerance values of the variables. SPSS was used to achieve this, and the findings are </w:t>
      </w:r>
      <w:proofErr w:type="spellStart"/>
      <w:r w:rsidRPr="00A02380">
        <w:rPr>
          <w:rFonts w:ascii="Merriweather Light" w:hAnsi="Merriweather Light" w:cstheme="minorHAnsi"/>
          <w:sz w:val="20"/>
          <w:szCs w:val="20"/>
          <w:shd w:val="clear" w:color="auto" w:fill="FFFFFF"/>
        </w:rPr>
        <w:t>summarised</w:t>
      </w:r>
      <w:proofErr w:type="spellEnd"/>
      <w:r w:rsidRPr="00A02380">
        <w:rPr>
          <w:rFonts w:ascii="Merriweather Light" w:hAnsi="Merriweather Light" w:cstheme="minorHAnsi"/>
          <w:sz w:val="20"/>
          <w:szCs w:val="20"/>
          <w:shd w:val="clear" w:color="auto" w:fill="FFFFFF"/>
        </w:rPr>
        <w:t xml:space="preserve"> below. Both the VIF and Tolerance numbers should be around 10, preferably less than 0.1.</w:t>
      </w:r>
    </w:p>
    <w:p w14:paraId="77979DE7" w14:textId="77777777" w:rsidR="00BB1535" w:rsidRDefault="00BB1535" w:rsidP="004726BE">
      <w:pPr>
        <w:spacing w:line="276" w:lineRule="auto"/>
        <w:jc w:val="both"/>
        <w:rPr>
          <w:rFonts w:ascii="Merriweather Light" w:hAnsi="Merriweather Light" w:cstheme="minorHAnsi"/>
          <w:i/>
          <w:sz w:val="20"/>
          <w:szCs w:val="20"/>
        </w:rPr>
        <w:sectPr w:rsidR="00BB1535" w:rsidSect="00BB1535">
          <w:type w:val="continuous"/>
          <w:pgSz w:w="12240" w:h="15840" w:code="1"/>
          <w:pgMar w:top="1224" w:right="1080" w:bottom="1080" w:left="1080" w:header="504" w:footer="504" w:gutter="0"/>
          <w:cols w:num="2" w:space="432"/>
          <w:titlePg/>
          <w:docGrid w:linePitch="360"/>
        </w:sectPr>
      </w:pPr>
    </w:p>
    <w:p w14:paraId="6B935DDC" w14:textId="1078711A" w:rsidR="00BE1333" w:rsidRDefault="00BE1333" w:rsidP="004726BE">
      <w:pPr>
        <w:spacing w:line="276" w:lineRule="auto"/>
        <w:jc w:val="both"/>
        <w:rPr>
          <w:rFonts w:ascii="Merriweather Light" w:hAnsi="Merriweather Light" w:cstheme="minorHAnsi"/>
          <w:i/>
          <w:sz w:val="20"/>
          <w:szCs w:val="20"/>
        </w:rPr>
      </w:pPr>
    </w:p>
    <w:p w14:paraId="3B005C3A" w14:textId="34016C89" w:rsidR="004726BE" w:rsidRPr="00BE1333" w:rsidRDefault="004726BE" w:rsidP="004726BE">
      <w:pPr>
        <w:spacing w:line="276" w:lineRule="auto"/>
        <w:jc w:val="both"/>
        <w:rPr>
          <w:rFonts w:ascii="Merriweather Light" w:hAnsi="Merriweather Light" w:cstheme="minorHAnsi"/>
          <w:b/>
          <w:iCs/>
          <w:sz w:val="20"/>
          <w:szCs w:val="20"/>
        </w:rPr>
      </w:pPr>
      <w:r w:rsidRPr="00BE1333">
        <w:rPr>
          <w:rFonts w:ascii="Merriweather Light" w:hAnsi="Merriweather Light" w:cstheme="minorHAnsi"/>
          <w:b/>
          <w:bCs/>
          <w:iCs/>
          <w:color w:val="011893"/>
          <w:sz w:val="20"/>
          <w:szCs w:val="20"/>
        </w:rPr>
        <w:t>Table 1</w:t>
      </w:r>
      <w:r w:rsidR="00BE1333" w:rsidRPr="00BE1333">
        <w:rPr>
          <w:rFonts w:ascii="Merriweather Light" w:hAnsi="Merriweather Light" w:cstheme="minorHAnsi"/>
          <w:b/>
          <w:bCs/>
          <w:iCs/>
          <w:color w:val="011893"/>
          <w:sz w:val="20"/>
          <w:szCs w:val="20"/>
        </w:rPr>
        <w:t>.</w:t>
      </w:r>
      <w:r w:rsidRPr="00BE1333">
        <w:rPr>
          <w:rFonts w:ascii="Merriweather Light" w:hAnsi="Merriweather Light" w:cstheme="minorHAnsi"/>
          <w:iCs/>
          <w:color w:val="011893"/>
          <w:sz w:val="20"/>
          <w:szCs w:val="20"/>
        </w:rPr>
        <w:t xml:space="preserve"> </w:t>
      </w:r>
      <w:r w:rsidRPr="00BE1333">
        <w:rPr>
          <w:rFonts w:ascii="Merriweather Light" w:hAnsi="Merriweather Light" w:cstheme="minorHAnsi"/>
          <w:iCs/>
          <w:sz w:val="20"/>
          <w:szCs w:val="20"/>
        </w:rPr>
        <w:t xml:space="preserve">Multi-Collinearity Tests </w:t>
      </w:r>
    </w:p>
    <w:tbl>
      <w:tblPr>
        <w:tblW w:w="101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0"/>
        <w:gridCol w:w="5950"/>
        <w:gridCol w:w="1187"/>
        <w:gridCol w:w="2583"/>
      </w:tblGrid>
      <w:tr w:rsidR="004726BE" w:rsidRPr="00A02380" w14:paraId="61A18412" w14:textId="77777777" w:rsidTr="00BE1333">
        <w:trPr>
          <w:cantSplit/>
          <w:trHeight w:val="89"/>
          <w:jc w:val="center"/>
        </w:trPr>
        <w:tc>
          <w:tcPr>
            <w:tcW w:w="10170" w:type="dxa"/>
            <w:gridSpan w:val="4"/>
            <w:tcBorders>
              <w:top w:val="single" w:sz="4" w:space="0" w:color="011893"/>
              <w:left w:val="nil"/>
              <w:bottom w:val="single" w:sz="4" w:space="0" w:color="011893"/>
              <w:right w:val="nil"/>
            </w:tcBorders>
            <w:shd w:val="clear" w:color="auto" w:fill="F2F2F2" w:themeFill="background1" w:themeFillShade="F2"/>
            <w:vAlign w:val="center"/>
          </w:tcPr>
          <w:p w14:paraId="17DF03CD" w14:textId="77777777" w:rsidR="004726BE" w:rsidRPr="00BE1333" w:rsidRDefault="004726BE" w:rsidP="00AA2E03">
            <w:pPr>
              <w:spacing w:line="276" w:lineRule="auto"/>
              <w:jc w:val="both"/>
              <w:rPr>
                <w:rFonts w:ascii="Merriweather Light" w:hAnsi="Merriweather Light" w:cstheme="minorHAnsi"/>
                <w:color w:val="011893"/>
                <w:sz w:val="20"/>
                <w:szCs w:val="20"/>
              </w:rPr>
            </w:pPr>
            <w:r w:rsidRPr="00BE1333">
              <w:rPr>
                <w:rFonts w:ascii="Merriweather Light" w:hAnsi="Merriweather Light" w:cstheme="minorHAnsi"/>
                <w:b/>
                <w:bCs/>
                <w:color w:val="011893"/>
                <w:sz w:val="20"/>
                <w:szCs w:val="20"/>
              </w:rPr>
              <w:t>Coefficients</w:t>
            </w:r>
          </w:p>
        </w:tc>
      </w:tr>
      <w:tr w:rsidR="004726BE" w:rsidRPr="00A02380" w14:paraId="70645563" w14:textId="77777777" w:rsidTr="00BE1333">
        <w:trPr>
          <w:cantSplit/>
          <w:trHeight w:val="116"/>
          <w:jc w:val="center"/>
        </w:trPr>
        <w:tc>
          <w:tcPr>
            <w:tcW w:w="6400" w:type="dxa"/>
            <w:gridSpan w:val="2"/>
            <w:vMerge w:val="restart"/>
            <w:tcBorders>
              <w:top w:val="single" w:sz="4" w:space="0" w:color="011893"/>
              <w:left w:val="nil"/>
              <w:bottom w:val="nil"/>
              <w:right w:val="nil"/>
            </w:tcBorders>
            <w:shd w:val="clear" w:color="auto" w:fill="F2F2F2" w:themeFill="background1" w:themeFillShade="F2"/>
            <w:vAlign w:val="bottom"/>
          </w:tcPr>
          <w:p w14:paraId="0C549403" w14:textId="77777777" w:rsidR="004726BE" w:rsidRPr="00BE1333" w:rsidRDefault="004726BE" w:rsidP="00AA2E03">
            <w:pPr>
              <w:spacing w:line="276" w:lineRule="auto"/>
              <w:jc w:val="both"/>
              <w:rPr>
                <w:rFonts w:ascii="Merriweather Light" w:hAnsi="Merriweather Light" w:cstheme="minorHAnsi"/>
                <w:b/>
                <w:bCs/>
                <w:color w:val="011893"/>
                <w:sz w:val="20"/>
                <w:szCs w:val="20"/>
              </w:rPr>
            </w:pPr>
            <w:r w:rsidRPr="00BE1333">
              <w:rPr>
                <w:rFonts w:ascii="Merriweather Light" w:hAnsi="Merriweather Light" w:cstheme="minorHAnsi"/>
                <w:b/>
                <w:bCs/>
                <w:color w:val="011893"/>
                <w:sz w:val="20"/>
                <w:szCs w:val="20"/>
              </w:rPr>
              <w:t>Model</w:t>
            </w:r>
          </w:p>
        </w:tc>
        <w:tc>
          <w:tcPr>
            <w:tcW w:w="3770" w:type="dxa"/>
            <w:gridSpan w:val="2"/>
            <w:tcBorders>
              <w:top w:val="single" w:sz="4" w:space="0" w:color="011893"/>
              <w:left w:val="nil"/>
              <w:bottom w:val="nil"/>
              <w:right w:val="nil"/>
            </w:tcBorders>
            <w:shd w:val="clear" w:color="auto" w:fill="F2F2F2" w:themeFill="background1" w:themeFillShade="F2"/>
            <w:vAlign w:val="bottom"/>
          </w:tcPr>
          <w:p w14:paraId="23BEF907" w14:textId="77777777" w:rsidR="004726BE" w:rsidRPr="00BE1333" w:rsidRDefault="004726BE" w:rsidP="00AA2E03">
            <w:pPr>
              <w:spacing w:line="276" w:lineRule="auto"/>
              <w:jc w:val="both"/>
              <w:rPr>
                <w:rFonts w:ascii="Merriweather Light" w:hAnsi="Merriweather Light" w:cstheme="minorHAnsi"/>
                <w:b/>
                <w:bCs/>
                <w:color w:val="011893"/>
                <w:sz w:val="20"/>
                <w:szCs w:val="20"/>
              </w:rPr>
            </w:pPr>
            <w:r w:rsidRPr="00BE1333">
              <w:rPr>
                <w:rFonts w:ascii="Merriweather Light" w:hAnsi="Merriweather Light" w:cstheme="minorHAnsi"/>
                <w:b/>
                <w:bCs/>
                <w:color w:val="011893"/>
                <w:sz w:val="20"/>
                <w:szCs w:val="20"/>
              </w:rPr>
              <w:t>Collinearity Statistics</w:t>
            </w:r>
          </w:p>
        </w:tc>
      </w:tr>
      <w:tr w:rsidR="00BE1333" w:rsidRPr="00A02380" w14:paraId="5A90DDF7" w14:textId="77777777" w:rsidTr="00BE1333">
        <w:trPr>
          <w:cantSplit/>
          <w:jc w:val="center"/>
        </w:trPr>
        <w:tc>
          <w:tcPr>
            <w:tcW w:w="6400" w:type="dxa"/>
            <w:gridSpan w:val="2"/>
            <w:vMerge/>
            <w:tcBorders>
              <w:top w:val="nil"/>
              <w:left w:val="nil"/>
              <w:bottom w:val="single" w:sz="4" w:space="0" w:color="011893"/>
              <w:right w:val="nil"/>
            </w:tcBorders>
            <w:shd w:val="clear" w:color="auto" w:fill="F2F2F2" w:themeFill="background1" w:themeFillShade="F2"/>
            <w:vAlign w:val="bottom"/>
          </w:tcPr>
          <w:p w14:paraId="542C9A9E" w14:textId="77777777" w:rsidR="004726BE" w:rsidRPr="00BE1333" w:rsidRDefault="004726BE" w:rsidP="00AA2E03">
            <w:pPr>
              <w:spacing w:line="276" w:lineRule="auto"/>
              <w:jc w:val="both"/>
              <w:rPr>
                <w:rFonts w:ascii="Merriweather Light" w:hAnsi="Merriweather Light" w:cstheme="minorHAnsi"/>
                <w:b/>
                <w:bCs/>
                <w:color w:val="011893"/>
                <w:sz w:val="20"/>
                <w:szCs w:val="20"/>
              </w:rPr>
            </w:pPr>
          </w:p>
        </w:tc>
        <w:tc>
          <w:tcPr>
            <w:tcW w:w="1187" w:type="dxa"/>
            <w:tcBorders>
              <w:top w:val="nil"/>
              <w:left w:val="nil"/>
              <w:bottom w:val="single" w:sz="4" w:space="0" w:color="011893"/>
              <w:right w:val="nil"/>
            </w:tcBorders>
            <w:shd w:val="clear" w:color="auto" w:fill="F2F2F2" w:themeFill="background1" w:themeFillShade="F2"/>
            <w:vAlign w:val="bottom"/>
          </w:tcPr>
          <w:p w14:paraId="4E348FB7" w14:textId="77777777" w:rsidR="004726BE" w:rsidRPr="00BE1333" w:rsidRDefault="004726BE" w:rsidP="00AA2E03">
            <w:pPr>
              <w:spacing w:line="276" w:lineRule="auto"/>
              <w:jc w:val="both"/>
              <w:rPr>
                <w:rFonts w:ascii="Merriweather Light" w:hAnsi="Merriweather Light" w:cstheme="minorHAnsi"/>
                <w:b/>
                <w:bCs/>
                <w:color w:val="011893"/>
                <w:sz w:val="20"/>
                <w:szCs w:val="20"/>
              </w:rPr>
            </w:pPr>
            <w:r w:rsidRPr="00BE1333">
              <w:rPr>
                <w:rFonts w:ascii="Merriweather Light" w:hAnsi="Merriweather Light" w:cstheme="minorHAnsi"/>
                <w:b/>
                <w:bCs/>
                <w:color w:val="011893"/>
                <w:sz w:val="20"/>
                <w:szCs w:val="20"/>
              </w:rPr>
              <w:t>Tolerance</w:t>
            </w:r>
          </w:p>
        </w:tc>
        <w:tc>
          <w:tcPr>
            <w:tcW w:w="2583" w:type="dxa"/>
            <w:tcBorders>
              <w:top w:val="nil"/>
              <w:left w:val="nil"/>
              <w:bottom w:val="single" w:sz="4" w:space="0" w:color="011893"/>
              <w:right w:val="nil"/>
            </w:tcBorders>
            <w:shd w:val="clear" w:color="auto" w:fill="F2F2F2" w:themeFill="background1" w:themeFillShade="F2"/>
            <w:vAlign w:val="bottom"/>
          </w:tcPr>
          <w:p w14:paraId="517A4409" w14:textId="77777777" w:rsidR="004726BE" w:rsidRPr="00BE1333" w:rsidRDefault="004726BE" w:rsidP="00AA2E03">
            <w:pPr>
              <w:spacing w:line="276" w:lineRule="auto"/>
              <w:jc w:val="both"/>
              <w:rPr>
                <w:rFonts w:ascii="Merriweather Light" w:hAnsi="Merriweather Light" w:cstheme="minorHAnsi"/>
                <w:b/>
                <w:bCs/>
                <w:color w:val="011893"/>
                <w:sz w:val="20"/>
                <w:szCs w:val="20"/>
              </w:rPr>
            </w:pPr>
            <w:r w:rsidRPr="00BE1333">
              <w:rPr>
                <w:rFonts w:ascii="Merriweather Light" w:hAnsi="Merriweather Light" w:cstheme="minorHAnsi"/>
                <w:b/>
                <w:bCs/>
                <w:color w:val="011893"/>
                <w:sz w:val="20"/>
                <w:szCs w:val="20"/>
              </w:rPr>
              <w:t>VIEW</w:t>
            </w:r>
          </w:p>
        </w:tc>
      </w:tr>
      <w:tr w:rsidR="00BE1333" w:rsidRPr="00A02380" w14:paraId="52F90FA3" w14:textId="77777777" w:rsidTr="00BE1333">
        <w:trPr>
          <w:cantSplit/>
          <w:jc w:val="center"/>
        </w:trPr>
        <w:tc>
          <w:tcPr>
            <w:tcW w:w="450" w:type="dxa"/>
            <w:tcBorders>
              <w:top w:val="single" w:sz="4" w:space="0" w:color="011893"/>
              <w:left w:val="nil"/>
              <w:bottom w:val="nil"/>
              <w:right w:val="nil"/>
            </w:tcBorders>
            <w:shd w:val="clear" w:color="auto" w:fill="auto"/>
          </w:tcPr>
          <w:p w14:paraId="02A03EA0" w14:textId="77777777" w:rsidR="004726BE" w:rsidRPr="00A02380" w:rsidRDefault="004726BE"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1</w:t>
            </w:r>
          </w:p>
        </w:tc>
        <w:tc>
          <w:tcPr>
            <w:tcW w:w="5950" w:type="dxa"/>
            <w:tcBorders>
              <w:top w:val="single" w:sz="4" w:space="0" w:color="011893"/>
              <w:left w:val="nil"/>
              <w:bottom w:val="nil"/>
              <w:right w:val="nil"/>
            </w:tcBorders>
            <w:shd w:val="clear" w:color="auto" w:fill="auto"/>
          </w:tcPr>
          <w:p w14:paraId="588F3732" w14:textId="77777777" w:rsidR="004726BE" w:rsidRPr="00A02380" w:rsidRDefault="004726BE" w:rsidP="00AA2E03">
            <w:pPr>
              <w:spacing w:line="276" w:lineRule="auto"/>
              <w:jc w:val="both"/>
              <w:rPr>
                <w:rFonts w:ascii="Merriweather Light" w:hAnsi="Merriweather Light" w:cstheme="minorHAnsi"/>
                <w:sz w:val="20"/>
                <w:szCs w:val="20"/>
              </w:rPr>
            </w:pPr>
            <w:proofErr w:type="spellStart"/>
            <w:r w:rsidRPr="00A02380">
              <w:rPr>
                <w:rFonts w:ascii="Merriweather Light" w:hAnsi="Merriweather Light" w:cstheme="minorHAnsi"/>
                <w:sz w:val="20"/>
                <w:szCs w:val="20"/>
              </w:rPr>
              <w:t>Informativeness</w:t>
            </w:r>
            <w:proofErr w:type="spellEnd"/>
          </w:p>
        </w:tc>
        <w:tc>
          <w:tcPr>
            <w:tcW w:w="1187" w:type="dxa"/>
            <w:tcBorders>
              <w:top w:val="single" w:sz="4" w:space="0" w:color="011893"/>
              <w:left w:val="nil"/>
              <w:bottom w:val="nil"/>
              <w:right w:val="nil"/>
            </w:tcBorders>
            <w:shd w:val="clear" w:color="auto" w:fill="FFFFFF"/>
          </w:tcPr>
          <w:p w14:paraId="0945666A" w14:textId="77777777" w:rsidR="004726BE" w:rsidRPr="00A02380" w:rsidRDefault="004726BE"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.146</w:t>
            </w:r>
          </w:p>
        </w:tc>
        <w:tc>
          <w:tcPr>
            <w:tcW w:w="2583" w:type="dxa"/>
            <w:tcBorders>
              <w:top w:val="single" w:sz="4" w:space="0" w:color="011893"/>
              <w:left w:val="nil"/>
              <w:bottom w:val="nil"/>
              <w:right w:val="nil"/>
            </w:tcBorders>
            <w:shd w:val="clear" w:color="auto" w:fill="FFFFFF"/>
          </w:tcPr>
          <w:p w14:paraId="4676B48B" w14:textId="77777777" w:rsidR="004726BE" w:rsidRPr="00A02380" w:rsidRDefault="004726BE"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6.845</w:t>
            </w:r>
          </w:p>
        </w:tc>
      </w:tr>
      <w:tr w:rsidR="00BE1333" w:rsidRPr="00A02380" w14:paraId="357BADFE" w14:textId="77777777" w:rsidTr="00BE1333">
        <w:trPr>
          <w:cantSplit/>
          <w:jc w:val="center"/>
        </w:trPr>
        <w:tc>
          <w:tcPr>
            <w:tcW w:w="450" w:type="dxa"/>
            <w:tcBorders>
              <w:top w:val="nil"/>
              <w:left w:val="nil"/>
              <w:bottom w:val="nil"/>
              <w:right w:val="nil"/>
            </w:tcBorders>
            <w:shd w:val="clear" w:color="auto" w:fill="auto"/>
          </w:tcPr>
          <w:p w14:paraId="37D9C392" w14:textId="77777777" w:rsidR="004726BE" w:rsidRPr="00A02380" w:rsidRDefault="004726BE"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2</w:t>
            </w:r>
          </w:p>
        </w:tc>
        <w:tc>
          <w:tcPr>
            <w:tcW w:w="5950" w:type="dxa"/>
            <w:tcBorders>
              <w:top w:val="nil"/>
              <w:left w:val="nil"/>
              <w:bottom w:val="nil"/>
              <w:right w:val="nil"/>
            </w:tcBorders>
            <w:shd w:val="clear" w:color="auto" w:fill="auto"/>
          </w:tcPr>
          <w:p w14:paraId="38308C56" w14:textId="77777777" w:rsidR="004726BE" w:rsidRPr="00A02380" w:rsidRDefault="004726BE"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Transparency</w:t>
            </w:r>
          </w:p>
        </w:tc>
        <w:tc>
          <w:tcPr>
            <w:tcW w:w="1187" w:type="dxa"/>
            <w:tcBorders>
              <w:top w:val="nil"/>
              <w:left w:val="nil"/>
              <w:bottom w:val="nil"/>
              <w:right w:val="nil"/>
            </w:tcBorders>
            <w:shd w:val="clear" w:color="auto" w:fill="FFFFFF"/>
          </w:tcPr>
          <w:p w14:paraId="39847FFB" w14:textId="77777777" w:rsidR="004726BE" w:rsidRPr="00A02380" w:rsidRDefault="004726BE"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.126</w:t>
            </w:r>
          </w:p>
        </w:tc>
        <w:tc>
          <w:tcPr>
            <w:tcW w:w="2583" w:type="dxa"/>
            <w:tcBorders>
              <w:top w:val="nil"/>
              <w:left w:val="nil"/>
              <w:bottom w:val="nil"/>
              <w:right w:val="nil"/>
            </w:tcBorders>
            <w:shd w:val="clear" w:color="auto" w:fill="FFFFFF"/>
          </w:tcPr>
          <w:p w14:paraId="2B2E97A0" w14:textId="77777777" w:rsidR="004726BE" w:rsidRPr="00A02380" w:rsidRDefault="004726BE"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5.731</w:t>
            </w:r>
          </w:p>
        </w:tc>
      </w:tr>
      <w:tr w:rsidR="00BE1333" w:rsidRPr="00A02380" w14:paraId="2B0AEDE4" w14:textId="77777777" w:rsidTr="00BE1333">
        <w:trPr>
          <w:cantSplit/>
          <w:jc w:val="center"/>
        </w:trPr>
        <w:tc>
          <w:tcPr>
            <w:tcW w:w="450" w:type="dxa"/>
            <w:tcBorders>
              <w:top w:val="nil"/>
              <w:left w:val="nil"/>
              <w:bottom w:val="nil"/>
              <w:right w:val="nil"/>
            </w:tcBorders>
            <w:shd w:val="clear" w:color="auto" w:fill="auto"/>
          </w:tcPr>
          <w:p w14:paraId="64CEAD15" w14:textId="77777777" w:rsidR="004726BE" w:rsidRPr="00A02380" w:rsidRDefault="004726BE"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3</w:t>
            </w:r>
          </w:p>
        </w:tc>
        <w:tc>
          <w:tcPr>
            <w:tcW w:w="5950" w:type="dxa"/>
            <w:tcBorders>
              <w:top w:val="nil"/>
              <w:left w:val="nil"/>
              <w:bottom w:val="nil"/>
              <w:right w:val="nil"/>
            </w:tcBorders>
            <w:shd w:val="clear" w:color="auto" w:fill="auto"/>
          </w:tcPr>
          <w:p w14:paraId="67D2E73A" w14:textId="77777777" w:rsidR="004726BE" w:rsidRPr="00A02380" w:rsidRDefault="004726BE"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Consistency</w:t>
            </w:r>
          </w:p>
        </w:tc>
        <w:tc>
          <w:tcPr>
            <w:tcW w:w="1187" w:type="dxa"/>
            <w:tcBorders>
              <w:top w:val="nil"/>
              <w:left w:val="nil"/>
              <w:bottom w:val="nil"/>
              <w:right w:val="nil"/>
            </w:tcBorders>
            <w:shd w:val="clear" w:color="auto" w:fill="FFFFFF"/>
          </w:tcPr>
          <w:p w14:paraId="20FD8BCA" w14:textId="77777777" w:rsidR="004726BE" w:rsidRPr="00A02380" w:rsidRDefault="004726BE"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.134</w:t>
            </w:r>
          </w:p>
        </w:tc>
        <w:tc>
          <w:tcPr>
            <w:tcW w:w="2583" w:type="dxa"/>
            <w:tcBorders>
              <w:top w:val="nil"/>
              <w:left w:val="nil"/>
              <w:bottom w:val="nil"/>
              <w:right w:val="nil"/>
            </w:tcBorders>
            <w:shd w:val="clear" w:color="auto" w:fill="FFFFFF"/>
          </w:tcPr>
          <w:p w14:paraId="39E8978E" w14:textId="77777777" w:rsidR="004726BE" w:rsidRPr="00A02380" w:rsidRDefault="004726BE"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6.956</w:t>
            </w:r>
          </w:p>
        </w:tc>
      </w:tr>
      <w:tr w:rsidR="00BE1333" w:rsidRPr="00A02380" w14:paraId="297EFE24" w14:textId="77777777" w:rsidTr="00BE1333">
        <w:trPr>
          <w:cantSplit/>
          <w:jc w:val="center"/>
        </w:trPr>
        <w:tc>
          <w:tcPr>
            <w:tcW w:w="450" w:type="dxa"/>
            <w:tcBorders>
              <w:top w:val="nil"/>
              <w:left w:val="nil"/>
              <w:bottom w:val="nil"/>
              <w:right w:val="nil"/>
            </w:tcBorders>
            <w:shd w:val="clear" w:color="auto" w:fill="auto"/>
          </w:tcPr>
          <w:p w14:paraId="5D550C5B" w14:textId="77777777" w:rsidR="004726BE" w:rsidRPr="00A02380" w:rsidRDefault="004726BE"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4</w:t>
            </w:r>
          </w:p>
        </w:tc>
        <w:tc>
          <w:tcPr>
            <w:tcW w:w="5950" w:type="dxa"/>
            <w:tcBorders>
              <w:top w:val="nil"/>
              <w:left w:val="nil"/>
              <w:bottom w:val="nil"/>
              <w:right w:val="nil"/>
            </w:tcBorders>
            <w:shd w:val="clear" w:color="auto" w:fill="auto"/>
          </w:tcPr>
          <w:p w14:paraId="22C7F8AB" w14:textId="77777777" w:rsidR="004726BE" w:rsidRPr="00A02380" w:rsidRDefault="004726BE"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Personal Relevance </w:t>
            </w:r>
          </w:p>
        </w:tc>
        <w:tc>
          <w:tcPr>
            <w:tcW w:w="1187" w:type="dxa"/>
            <w:tcBorders>
              <w:top w:val="nil"/>
              <w:left w:val="nil"/>
              <w:bottom w:val="nil"/>
              <w:right w:val="nil"/>
            </w:tcBorders>
            <w:shd w:val="clear" w:color="auto" w:fill="FFFFFF"/>
          </w:tcPr>
          <w:p w14:paraId="6C9B8A64" w14:textId="77777777" w:rsidR="004726BE" w:rsidRPr="00A02380" w:rsidRDefault="004726BE"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.148</w:t>
            </w:r>
          </w:p>
        </w:tc>
        <w:tc>
          <w:tcPr>
            <w:tcW w:w="2583" w:type="dxa"/>
            <w:tcBorders>
              <w:top w:val="nil"/>
              <w:left w:val="nil"/>
              <w:bottom w:val="nil"/>
              <w:right w:val="nil"/>
            </w:tcBorders>
            <w:shd w:val="clear" w:color="auto" w:fill="FFFFFF"/>
          </w:tcPr>
          <w:p w14:paraId="2619091A" w14:textId="77777777" w:rsidR="004726BE" w:rsidRPr="00A02380" w:rsidRDefault="004726BE"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4.734</w:t>
            </w:r>
          </w:p>
        </w:tc>
      </w:tr>
      <w:tr w:rsidR="00BE1333" w:rsidRPr="00A02380" w14:paraId="50FADA00" w14:textId="77777777" w:rsidTr="00BE1333">
        <w:trPr>
          <w:cantSplit/>
          <w:jc w:val="center"/>
        </w:trPr>
        <w:tc>
          <w:tcPr>
            <w:tcW w:w="450" w:type="dxa"/>
            <w:tcBorders>
              <w:top w:val="nil"/>
              <w:left w:val="nil"/>
              <w:bottom w:val="single" w:sz="4" w:space="0" w:color="011893"/>
              <w:right w:val="nil"/>
            </w:tcBorders>
            <w:shd w:val="clear" w:color="auto" w:fill="auto"/>
          </w:tcPr>
          <w:p w14:paraId="07E880CD" w14:textId="77777777" w:rsidR="004726BE" w:rsidRPr="00A02380" w:rsidRDefault="004726BE"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5</w:t>
            </w:r>
          </w:p>
        </w:tc>
        <w:tc>
          <w:tcPr>
            <w:tcW w:w="5950" w:type="dxa"/>
            <w:tcBorders>
              <w:top w:val="nil"/>
              <w:left w:val="nil"/>
              <w:bottom w:val="single" w:sz="4" w:space="0" w:color="011893"/>
              <w:right w:val="nil"/>
            </w:tcBorders>
            <w:shd w:val="clear" w:color="auto" w:fill="auto"/>
          </w:tcPr>
          <w:p w14:paraId="7DA1E427" w14:textId="77777777" w:rsidR="004726BE" w:rsidRPr="00A02380" w:rsidRDefault="004726BE"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Message Tone</w:t>
            </w:r>
          </w:p>
        </w:tc>
        <w:tc>
          <w:tcPr>
            <w:tcW w:w="1187" w:type="dxa"/>
            <w:tcBorders>
              <w:top w:val="nil"/>
              <w:left w:val="nil"/>
              <w:bottom w:val="single" w:sz="4" w:space="0" w:color="011893"/>
              <w:right w:val="nil"/>
            </w:tcBorders>
            <w:shd w:val="clear" w:color="auto" w:fill="FFFFFF"/>
          </w:tcPr>
          <w:p w14:paraId="46BAA866" w14:textId="77777777" w:rsidR="004726BE" w:rsidRPr="00A02380" w:rsidRDefault="004726BE"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.141</w:t>
            </w:r>
          </w:p>
        </w:tc>
        <w:tc>
          <w:tcPr>
            <w:tcW w:w="2583" w:type="dxa"/>
            <w:tcBorders>
              <w:top w:val="nil"/>
              <w:left w:val="nil"/>
              <w:bottom w:val="single" w:sz="4" w:space="0" w:color="011893"/>
              <w:right w:val="nil"/>
            </w:tcBorders>
            <w:shd w:val="clear" w:color="auto" w:fill="FFFFFF"/>
          </w:tcPr>
          <w:p w14:paraId="01DB3131" w14:textId="77777777" w:rsidR="004726BE" w:rsidRPr="00A02380" w:rsidRDefault="004726BE"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4.045</w:t>
            </w:r>
          </w:p>
        </w:tc>
      </w:tr>
      <w:tr w:rsidR="004726BE" w:rsidRPr="00A02380" w14:paraId="44C1621C" w14:textId="77777777" w:rsidTr="00BE1333">
        <w:trPr>
          <w:cantSplit/>
          <w:jc w:val="center"/>
        </w:trPr>
        <w:tc>
          <w:tcPr>
            <w:tcW w:w="10170" w:type="dxa"/>
            <w:gridSpan w:val="4"/>
            <w:tcBorders>
              <w:top w:val="single" w:sz="4" w:space="0" w:color="011893"/>
              <w:left w:val="nil"/>
              <w:bottom w:val="nil"/>
              <w:right w:val="nil"/>
            </w:tcBorders>
            <w:shd w:val="clear" w:color="auto" w:fill="FFFFFF"/>
          </w:tcPr>
          <w:p w14:paraId="428A0A7E" w14:textId="77777777" w:rsidR="004726BE" w:rsidRPr="00A02380" w:rsidRDefault="004726BE"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Dependent Variable: CSR Communication Factors </w:t>
            </w:r>
          </w:p>
        </w:tc>
      </w:tr>
    </w:tbl>
    <w:p w14:paraId="2F6E9CB2" w14:textId="77777777" w:rsidR="00BB1535" w:rsidRDefault="00BB1535" w:rsidP="00BE1333">
      <w:pPr>
        <w:spacing w:before="120" w:line="276" w:lineRule="auto"/>
        <w:jc w:val="both"/>
        <w:rPr>
          <w:rFonts w:ascii="Merriweather Light" w:hAnsi="Merriweather Light" w:cstheme="minorHAnsi"/>
          <w:sz w:val="20"/>
          <w:szCs w:val="20"/>
        </w:rPr>
        <w:sectPr w:rsidR="00BB1535" w:rsidSect="004726BE">
          <w:type w:val="continuous"/>
          <w:pgSz w:w="12240" w:h="15840" w:code="1"/>
          <w:pgMar w:top="1224" w:right="1080" w:bottom="1080" w:left="1080" w:header="504" w:footer="504" w:gutter="0"/>
          <w:cols w:space="432"/>
          <w:titlePg/>
          <w:docGrid w:linePitch="360"/>
        </w:sectPr>
      </w:pPr>
    </w:p>
    <w:p w14:paraId="49DD99F2" w14:textId="317D4FE4" w:rsidR="004726BE" w:rsidRDefault="004726BE" w:rsidP="00BE1333">
      <w:pPr>
        <w:spacing w:before="120"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This suggests that Multi-Collinearity is not a problem, and the researcher can proceed with further research since the data satisfied the Collinearity assumption.</w:t>
      </w:r>
    </w:p>
    <w:p w14:paraId="3346219D" w14:textId="77777777" w:rsidR="00BE1333" w:rsidRPr="00A02380" w:rsidRDefault="00BE1333" w:rsidP="00BE1333">
      <w:pPr>
        <w:spacing w:line="276" w:lineRule="auto"/>
        <w:jc w:val="both"/>
        <w:rPr>
          <w:rFonts w:ascii="Merriweather Light" w:hAnsi="Merriweather Light" w:cstheme="minorHAnsi"/>
          <w:sz w:val="20"/>
          <w:szCs w:val="20"/>
        </w:rPr>
      </w:pPr>
    </w:p>
    <w:p w14:paraId="5567C795" w14:textId="39110845" w:rsidR="004726BE" w:rsidRPr="00E57C73" w:rsidRDefault="004726BE" w:rsidP="00E57C73">
      <w:pPr>
        <w:pStyle w:val="Heading2"/>
        <w:spacing w:before="0" w:after="60" w:line="276" w:lineRule="auto"/>
        <w:jc w:val="both"/>
        <w:rPr>
          <w:rFonts w:ascii="Merriweather Light" w:hAnsi="Merriweather Light"/>
          <w:b/>
          <w:bCs/>
          <w:color w:val="011893"/>
          <w:sz w:val="20"/>
          <w:szCs w:val="20"/>
        </w:rPr>
      </w:pPr>
      <w:bookmarkStart w:id="28" w:name="_Toc43880239"/>
      <w:bookmarkStart w:id="29" w:name="_Toc45035050"/>
      <w:bookmarkStart w:id="30" w:name="_Toc81855321"/>
      <w:bookmarkStart w:id="31" w:name="_Toc82765625"/>
      <w:bookmarkStart w:id="32" w:name="_Toc116743638"/>
      <w:bookmarkEnd w:id="24"/>
      <w:bookmarkEnd w:id="25"/>
      <w:bookmarkEnd w:id="26"/>
      <w:bookmarkEnd w:id="27"/>
      <w:r w:rsidRPr="00E57C73">
        <w:rPr>
          <w:rFonts w:ascii="Merriweather Light" w:hAnsi="Merriweather Light"/>
          <w:b/>
          <w:bCs/>
          <w:color w:val="011893"/>
          <w:sz w:val="20"/>
          <w:szCs w:val="20"/>
        </w:rPr>
        <w:t>Structural Model</w:t>
      </w:r>
      <w:bookmarkEnd w:id="28"/>
      <w:bookmarkEnd w:id="29"/>
      <w:bookmarkEnd w:id="30"/>
      <w:bookmarkEnd w:id="31"/>
      <w:bookmarkEnd w:id="32"/>
    </w:p>
    <w:p w14:paraId="096083D6" w14:textId="7A8D5666" w:rsidR="004726BE" w:rsidRDefault="004726BE" w:rsidP="004726BE">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The proposed model for this investigation contains a structural model that accounts for real-world interconnectedness. The PLS structural model examines the relationship between the various research frameworks in depth using the t-values as an indicator of the direction coefficients. In regression analysis, the route coefficient and uniform beta coefficient have a one-to-one connection, according to </w:t>
      </w:r>
      <w:proofErr w:type="spellStart"/>
      <w:r w:rsidRPr="00A02380">
        <w:rPr>
          <w:rFonts w:ascii="Merriweather Light" w:hAnsi="Merriweather Light" w:cstheme="minorHAnsi"/>
          <w:sz w:val="20"/>
          <w:szCs w:val="20"/>
        </w:rPr>
        <w:t>Henseler</w:t>
      </w:r>
      <w:proofErr w:type="spellEnd"/>
      <w:r w:rsidRPr="00A02380">
        <w:rPr>
          <w:rFonts w:ascii="Merriweather Light" w:hAnsi="Merriweather Light" w:cstheme="minorHAnsi"/>
          <w:sz w:val="20"/>
          <w:szCs w:val="20"/>
        </w:rPr>
        <w:t xml:space="preserve"> and colleagues (Hedges, </w:t>
      </w:r>
      <w:hyperlink w:anchor="Hedges" w:history="1">
        <w:r w:rsidRPr="00660DF4">
          <w:rPr>
            <w:rStyle w:val="Hyperlink"/>
            <w:rFonts w:ascii="Merriweather Light" w:hAnsi="Merriweather Light" w:cstheme="minorHAnsi"/>
            <w:sz w:val="20"/>
            <w:szCs w:val="20"/>
          </w:rPr>
          <w:t>2021</w:t>
        </w:r>
      </w:hyperlink>
      <w:r w:rsidRPr="00A02380">
        <w:rPr>
          <w:rFonts w:ascii="Merriweather Light" w:hAnsi="Merriweather Light" w:cstheme="minorHAnsi"/>
          <w:sz w:val="20"/>
          <w:szCs w:val="20"/>
        </w:rPr>
        <w:t xml:space="preserve">). The t-values and beta values of the regression coefficient are examined to evaluate whether or not the value of 140 is significant. According to several investigations, a number greater than 1.64 is required to assess the presented </w:t>
      </w:r>
      <w:r w:rsidR="00B726A4">
        <w:rPr>
          <w:rFonts w:ascii="Merriweather Light" w:hAnsi="Merriweather Light" w:cstheme="minorHAnsi"/>
          <w:sz w:val="20"/>
          <w:szCs w:val="20"/>
        </w:rPr>
        <w:t>h</w:t>
      </w:r>
      <w:r w:rsidR="00B726A4" w:rsidRPr="00A02380">
        <w:rPr>
          <w:rFonts w:ascii="Merriweather Light" w:hAnsi="Merriweather Light" w:cstheme="minorHAnsi"/>
          <w:sz w:val="20"/>
          <w:szCs w:val="20"/>
        </w:rPr>
        <w:t>ypothesis</w:t>
      </w:r>
      <w:r w:rsidRPr="00A02380">
        <w:rPr>
          <w:rFonts w:ascii="Merriweather Light" w:hAnsi="Merriweather Light" w:cstheme="minorHAnsi"/>
          <w:sz w:val="20"/>
          <w:szCs w:val="20"/>
        </w:rPr>
        <w:t xml:space="preserve">. Labor Force Survey data from Statistics Canada </w:t>
      </w:r>
      <w:r w:rsidRPr="00A02380">
        <w:rPr>
          <w:rFonts w:ascii="Merriweather Light" w:hAnsi="Merriweather Light" w:cstheme="minorHAnsi"/>
          <w:sz w:val="20"/>
          <w:szCs w:val="20"/>
        </w:rPr>
        <w:t xml:space="preserve">(2019). The major goal of this study is to evaluate the model by looking for clear correlations and investigating the </w:t>
      </w:r>
      <w:r w:rsidR="00B726A4" w:rsidRPr="00A02380">
        <w:rPr>
          <w:rFonts w:ascii="Merriweather Light" w:hAnsi="Merriweather Light" w:cstheme="minorHAnsi"/>
          <w:sz w:val="20"/>
          <w:szCs w:val="20"/>
        </w:rPr>
        <w:t>hypothesi</w:t>
      </w:r>
      <w:r w:rsidR="00B726A4">
        <w:rPr>
          <w:rFonts w:ascii="Merriweather Light" w:hAnsi="Merriweather Light" w:cstheme="minorHAnsi"/>
          <w:sz w:val="20"/>
          <w:szCs w:val="20"/>
        </w:rPr>
        <w:t>z</w:t>
      </w:r>
      <w:r w:rsidR="00B726A4" w:rsidRPr="00A02380">
        <w:rPr>
          <w:rFonts w:ascii="Merriweather Light" w:hAnsi="Merriweather Light" w:cstheme="minorHAnsi"/>
          <w:sz w:val="20"/>
          <w:szCs w:val="20"/>
        </w:rPr>
        <w:t xml:space="preserve">ed </w:t>
      </w:r>
      <w:r w:rsidRPr="00A02380">
        <w:rPr>
          <w:rFonts w:ascii="Merriweather Light" w:hAnsi="Merriweather Light" w:cstheme="minorHAnsi"/>
          <w:sz w:val="20"/>
          <w:szCs w:val="20"/>
        </w:rPr>
        <w:t xml:space="preserve">links between the chapters using a hierarchical framework. The processes will be carried out in the following sequence. The path coefficient values, t-values, p-values, and standard errors are all included in the Smart-PLS 4 file (D. Sharma &amp; </w:t>
      </w:r>
      <w:proofErr w:type="spellStart"/>
      <w:r w:rsidRPr="00A02380">
        <w:rPr>
          <w:rFonts w:ascii="Merriweather Light" w:hAnsi="Merriweather Light" w:cstheme="minorHAnsi"/>
          <w:sz w:val="20"/>
          <w:szCs w:val="20"/>
        </w:rPr>
        <w:t>Khandelwal</w:t>
      </w:r>
      <w:proofErr w:type="spellEnd"/>
      <w:r w:rsidRPr="00A02380">
        <w:rPr>
          <w:rFonts w:ascii="Merriweather Light" w:hAnsi="Merriweather Light" w:cstheme="minorHAnsi"/>
          <w:sz w:val="20"/>
          <w:szCs w:val="20"/>
        </w:rPr>
        <w:t xml:space="preserve">, </w:t>
      </w:r>
      <w:hyperlink w:anchor="Sharma" w:history="1">
        <w:r w:rsidRPr="00660DF4">
          <w:rPr>
            <w:rStyle w:val="Hyperlink"/>
            <w:rFonts w:ascii="Merriweather Light" w:hAnsi="Merriweather Light" w:cstheme="minorHAnsi"/>
            <w:sz w:val="20"/>
            <w:szCs w:val="20"/>
          </w:rPr>
          <w:t>2021</w:t>
        </w:r>
      </w:hyperlink>
      <w:r w:rsidRPr="00A02380">
        <w:rPr>
          <w:rFonts w:ascii="Merriweather Light" w:hAnsi="Merriweather Light" w:cstheme="minorHAnsi"/>
          <w:sz w:val="20"/>
          <w:szCs w:val="20"/>
        </w:rPr>
        <w:t xml:space="preserve">). After </w:t>
      </w:r>
      <w:r w:rsidR="00B726A4" w:rsidRPr="00A02380">
        <w:rPr>
          <w:rFonts w:ascii="Merriweather Light" w:hAnsi="Merriweather Light" w:cstheme="minorHAnsi"/>
          <w:sz w:val="20"/>
          <w:szCs w:val="20"/>
        </w:rPr>
        <w:t>analy</w:t>
      </w:r>
      <w:r w:rsidR="00B726A4">
        <w:rPr>
          <w:rFonts w:ascii="Merriweather Light" w:hAnsi="Merriweather Light" w:cstheme="minorHAnsi"/>
          <w:sz w:val="20"/>
          <w:szCs w:val="20"/>
        </w:rPr>
        <w:t>z</w:t>
      </w:r>
      <w:r w:rsidR="00B726A4" w:rsidRPr="00A02380">
        <w:rPr>
          <w:rFonts w:ascii="Merriweather Light" w:hAnsi="Merriweather Light" w:cstheme="minorHAnsi"/>
          <w:sz w:val="20"/>
          <w:szCs w:val="20"/>
        </w:rPr>
        <w:t xml:space="preserve">ing </w:t>
      </w:r>
      <w:r w:rsidRPr="00A02380">
        <w:rPr>
          <w:rFonts w:ascii="Merriweather Light" w:hAnsi="Merriweather Light" w:cstheme="minorHAnsi"/>
          <w:sz w:val="20"/>
          <w:szCs w:val="20"/>
        </w:rPr>
        <w:t xml:space="preserve">these critical elements, the researcher decided that the </w:t>
      </w:r>
      <w:r w:rsidR="00B726A4">
        <w:rPr>
          <w:rFonts w:ascii="Merriweather Light" w:hAnsi="Merriweather Light" w:cstheme="minorHAnsi"/>
          <w:sz w:val="20"/>
          <w:szCs w:val="20"/>
        </w:rPr>
        <w:t>h</w:t>
      </w:r>
      <w:r w:rsidR="00B726A4" w:rsidRPr="00A02380">
        <w:rPr>
          <w:rFonts w:ascii="Merriweather Light" w:hAnsi="Merriweather Light" w:cstheme="minorHAnsi"/>
          <w:sz w:val="20"/>
          <w:szCs w:val="20"/>
        </w:rPr>
        <w:t xml:space="preserve">ypothesis </w:t>
      </w:r>
      <w:r w:rsidRPr="00A02380">
        <w:rPr>
          <w:rFonts w:ascii="Merriweather Light" w:hAnsi="Merriweather Light" w:cstheme="minorHAnsi"/>
          <w:sz w:val="20"/>
          <w:szCs w:val="20"/>
        </w:rPr>
        <w:t>was valid. The t-values in this investigation were calculated using the bootstrapping approach. Bootstrapping may be used in place of an empirical parameter's standard error (</w:t>
      </w:r>
      <w:proofErr w:type="spellStart"/>
      <w:r w:rsidRPr="00A02380">
        <w:rPr>
          <w:rFonts w:ascii="Merriweather Light" w:hAnsi="Merriweather Light" w:cstheme="minorHAnsi"/>
          <w:sz w:val="20"/>
          <w:szCs w:val="20"/>
        </w:rPr>
        <w:t>Boswijk</w:t>
      </w:r>
      <w:proofErr w:type="spellEnd"/>
      <w:r w:rsidRPr="00A02380">
        <w:rPr>
          <w:rFonts w:ascii="Merriweather Light" w:hAnsi="Merriweather Light" w:cstheme="minorHAnsi"/>
          <w:sz w:val="20"/>
          <w:szCs w:val="20"/>
        </w:rPr>
        <w:t xml:space="preserve">, </w:t>
      </w:r>
      <w:hyperlink w:anchor="Boswijk" w:history="1">
        <w:r w:rsidRPr="00660DF4">
          <w:rPr>
            <w:rStyle w:val="Hyperlink"/>
            <w:rFonts w:ascii="Merriweather Light" w:hAnsi="Merriweather Light" w:cstheme="minorHAnsi"/>
            <w:sz w:val="20"/>
            <w:szCs w:val="20"/>
          </w:rPr>
          <w:t>1996</w:t>
        </w:r>
      </w:hyperlink>
      <w:r w:rsidRPr="00A02380">
        <w:rPr>
          <w:rFonts w:ascii="Merriweather Light" w:hAnsi="Merriweather Light" w:cstheme="minorHAnsi"/>
          <w:sz w:val="20"/>
          <w:szCs w:val="20"/>
        </w:rPr>
        <w:t>). The structural model was examined after the outcomes of the evaluation and interpretation of the measurement model were examined. The structural model is divided into three sections: an assessment of the overall predictive performance of the model, an evaluation of the coefficients of determination (R2) of the latent components, and a calculation of the significance level of the linkages in the recommended associations.</w:t>
      </w:r>
    </w:p>
    <w:p w14:paraId="1DEC1880" w14:textId="77777777" w:rsidR="00BB1535" w:rsidRDefault="00BB1535" w:rsidP="004726BE">
      <w:pPr>
        <w:spacing w:line="276" w:lineRule="auto"/>
        <w:jc w:val="both"/>
        <w:rPr>
          <w:rFonts w:ascii="Merriweather Light" w:hAnsi="Merriweather Light" w:cstheme="minorHAnsi"/>
          <w:sz w:val="20"/>
          <w:szCs w:val="20"/>
        </w:rPr>
        <w:sectPr w:rsidR="00BB1535" w:rsidSect="00BB1535">
          <w:type w:val="continuous"/>
          <w:pgSz w:w="12240" w:h="15840" w:code="1"/>
          <w:pgMar w:top="1224" w:right="1080" w:bottom="1080" w:left="1080" w:header="504" w:footer="504" w:gutter="0"/>
          <w:cols w:num="2" w:space="432"/>
          <w:titlePg/>
          <w:docGrid w:linePitch="360"/>
        </w:sectPr>
      </w:pPr>
    </w:p>
    <w:p w14:paraId="56AE6103" w14:textId="77777777" w:rsidR="004726BE" w:rsidRPr="00E57C73" w:rsidRDefault="004726BE" w:rsidP="00E57C73">
      <w:pPr>
        <w:pStyle w:val="Heading2"/>
        <w:spacing w:before="0" w:after="60" w:line="276" w:lineRule="auto"/>
        <w:jc w:val="both"/>
        <w:rPr>
          <w:rFonts w:ascii="Merriweather Light" w:hAnsi="Merriweather Light"/>
          <w:b/>
          <w:bCs/>
          <w:color w:val="011893"/>
          <w:sz w:val="20"/>
          <w:szCs w:val="20"/>
        </w:rPr>
      </w:pPr>
      <w:bookmarkStart w:id="33" w:name="_Toc116743639"/>
      <w:r w:rsidRPr="00E57C73">
        <w:rPr>
          <w:rFonts w:ascii="Merriweather Light" w:hAnsi="Merriweather Light"/>
          <w:b/>
          <w:bCs/>
          <w:color w:val="011893"/>
          <w:sz w:val="20"/>
          <w:szCs w:val="20"/>
        </w:rPr>
        <w:lastRenderedPageBreak/>
        <w:t>Direct Hypothesis:</w:t>
      </w:r>
      <w:bookmarkEnd w:id="33"/>
    </w:p>
    <w:p w14:paraId="7ACC99BC" w14:textId="77777777" w:rsidR="004726BE" w:rsidRPr="00F00023" w:rsidRDefault="004726BE" w:rsidP="004726BE">
      <w:pPr>
        <w:spacing w:line="276" w:lineRule="auto"/>
        <w:jc w:val="both"/>
        <w:rPr>
          <w:rFonts w:ascii="Merriweather Light" w:hAnsi="Merriweather Light" w:cstheme="minorHAnsi"/>
          <w:b/>
          <w:iCs/>
          <w:color w:val="011893"/>
          <w:sz w:val="20"/>
          <w:szCs w:val="20"/>
        </w:rPr>
      </w:pPr>
      <w:r w:rsidRPr="00F00023">
        <w:rPr>
          <w:rFonts w:ascii="Merriweather Light" w:hAnsi="Merriweather Light" w:cstheme="minorHAnsi"/>
          <w:b/>
          <w:iCs/>
          <w:color w:val="011893"/>
          <w:sz w:val="20"/>
          <w:szCs w:val="20"/>
        </w:rPr>
        <w:t>Path Coefficients:</w:t>
      </w:r>
    </w:p>
    <w:p w14:paraId="6D4A1B42" w14:textId="05A03574" w:rsidR="004726BE" w:rsidRPr="00F00023" w:rsidRDefault="004726BE" w:rsidP="004726BE">
      <w:pPr>
        <w:spacing w:line="276" w:lineRule="auto"/>
        <w:jc w:val="both"/>
        <w:rPr>
          <w:rFonts w:ascii="Merriweather Light" w:hAnsi="Merriweather Light" w:cstheme="minorHAnsi"/>
          <w:iCs/>
          <w:sz w:val="20"/>
          <w:szCs w:val="20"/>
        </w:rPr>
      </w:pPr>
      <w:r w:rsidRPr="00F00023">
        <w:rPr>
          <w:rFonts w:ascii="Merriweather Light" w:hAnsi="Merriweather Light" w:cstheme="minorHAnsi"/>
          <w:b/>
          <w:iCs/>
          <w:color w:val="011893"/>
          <w:sz w:val="20"/>
          <w:szCs w:val="20"/>
        </w:rPr>
        <w:t>Table 2.</w:t>
      </w:r>
      <w:r w:rsidRPr="00F00023">
        <w:rPr>
          <w:rFonts w:ascii="Merriweather Light" w:hAnsi="Merriweather Light" w:cstheme="minorHAnsi"/>
          <w:i/>
          <w:color w:val="011893"/>
          <w:sz w:val="20"/>
          <w:szCs w:val="20"/>
        </w:rPr>
        <w:t xml:space="preserve"> </w:t>
      </w:r>
      <w:r w:rsidRPr="00F00023">
        <w:rPr>
          <w:rFonts w:ascii="Merriweather Light" w:hAnsi="Merriweather Light" w:cstheme="minorHAnsi"/>
          <w:iCs/>
          <w:sz w:val="20"/>
          <w:szCs w:val="20"/>
        </w:rPr>
        <w:t xml:space="preserve">Direct Hypothesis </w:t>
      </w:r>
    </w:p>
    <w:tbl>
      <w:tblPr>
        <w:tblW w:w="9978" w:type="dxa"/>
        <w:jc w:val="center"/>
        <w:shd w:val="clear" w:color="auto" w:fill="FFFFFF" w:themeFill="background1"/>
        <w:tblLayout w:type="fixed"/>
        <w:tblLook w:val="04A0" w:firstRow="1" w:lastRow="0" w:firstColumn="1" w:lastColumn="0" w:noHBand="0" w:noVBand="1"/>
      </w:tblPr>
      <w:tblGrid>
        <w:gridCol w:w="2070"/>
        <w:gridCol w:w="1581"/>
        <w:gridCol w:w="1582"/>
        <w:gridCol w:w="1581"/>
        <w:gridCol w:w="1376"/>
        <w:gridCol w:w="1788"/>
      </w:tblGrid>
      <w:tr w:rsidR="006B052C" w:rsidRPr="00A02380" w14:paraId="25BA3A14" w14:textId="77777777" w:rsidTr="00250B51">
        <w:trPr>
          <w:trHeight w:val="206"/>
          <w:jc w:val="center"/>
        </w:trPr>
        <w:tc>
          <w:tcPr>
            <w:tcW w:w="2070" w:type="dxa"/>
            <w:tcBorders>
              <w:top w:val="single" w:sz="4" w:space="0" w:color="011893"/>
              <w:bottom w:val="single" w:sz="4" w:space="0" w:color="011893"/>
            </w:tcBorders>
            <w:shd w:val="clear" w:color="auto" w:fill="F2F2F2" w:themeFill="background1" w:themeFillShade="F2"/>
            <w:noWrap/>
            <w:vAlign w:val="bottom"/>
            <w:hideMark/>
          </w:tcPr>
          <w:p w14:paraId="360AEBBF" w14:textId="77777777" w:rsidR="006B052C" w:rsidRPr="00250B51" w:rsidRDefault="006B052C" w:rsidP="00AA2E03">
            <w:pPr>
              <w:spacing w:line="276" w:lineRule="auto"/>
              <w:jc w:val="both"/>
              <w:rPr>
                <w:rFonts w:ascii="Merriweather Light" w:hAnsi="Merriweather Light" w:cstheme="minorHAnsi"/>
                <w:color w:val="011893"/>
                <w:sz w:val="20"/>
                <w:szCs w:val="20"/>
              </w:rPr>
            </w:pPr>
          </w:p>
        </w:tc>
        <w:tc>
          <w:tcPr>
            <w:tcW w:w="1581" w:type="dxa"/>
            <w:tcBorders>
              <w:top w:val="single" w:sz="4" w:space="0" w:color="011893"/>
              <w:bottom w:val="single" w:sz="4" w:space="0" w:color="011893"/>
            </w:tcBorders>
            <w:shd w:val="clear" w:color="auto" w:fill="F2F2F2" w:themeFill="background1" w:themeFillShade="F2"/>
            <w:noWrap/>
            <w:vAlign w:val="bottom"/>
            <w:hideMark/>
          </w:tcPr>
          <w:p w14:paraId="5C02C7E4" w14:textId="77777777" w:rsidR="006B052C" w:rsidRPr="00250B51" w:rsidRDefault="006B052C" w:rsidP="00AA2E03">
            <w:pPr>
              <w:spacing w:line="276" w:lineRule="auto"/>
              <w:jc w:val="both"/>
              <w:rPr>
                <w:rFonts w:ascii="Merriweather Light" w:hAnsi="Merriweather Light" w:cstheme="minorHAnsi"/>
                <w:b/>
                <w:color w:val="011893"/>
                <w:sz w:val="20"/>
                <w:szCs w:val="20"/>
              </w:rPr>
            </w:pPr>
            <w:proofErr w:type="spellStart"/>
            <w:r w:rsidRPr="00250B51">
              <w:rPr>
                <w:rFonts w:ascii="Merriweather Light" w:hAnsi="Merriweather Light" w:cstheme="minorHAnsi"/>
                <w:b/>
                <w:color w:val="011893"/>
                <w:sz w:val="20"/>
                <w:szCs w:val="20"/>
              </w:rPr>
              <w:t>St.d</w:t>
            </w:r>
            <w:proofErr w:type="spellEnd"/>
            <w:r w:rsidRPr="00250B51">
              <w:rPr>
                <w:rFonts w:ascii="Merriweather Light" w:hAnsi="Merriweather Light" w:cstheme="minorHAnsi"/>
                <w:b/>
                <w:color w:val="011893"/>
                <w:sz w:val="20"/>
                <w:szCs w:val="20"/>
              </w:rPr>
              <w:t xml:space="preserve"> Beta</w:t>
            </w:r>
          </w:p>
        </w:tc>
        <w:tc>
          <w:tcPr>
            <w:tcW w:w="1582" w:type="dxa"/>
            <w:tcBorders>
              <w:top w:val="single" w:sz="4" w:space="0" w:color="011893"/>
              <w:bottom w:val="single" w:sz="4" w:space="0" w:color="011893"/>
            </w:tcBorders>
            <w:shd w:val="clear" w:color="auto" w:fill="F2F2F2" w:themeFill="background1" w:themeFillShade="F2"/>
            <w:noWrap/>
            <w:vAlign w:val="bottom"/>
            <w:hideMark/>
          </w:tcPr>
          <w:p w14:paraId="71BB56EF" w14:textId="77777777" w:rsidR="006B052C" w:rsidRPr="00250B51" w:rsidRDefault="006B052C" w:rsidP="00AA2E03">
            <w:pPr>
              <w:spacing w:line="276" w:lineRule="auto"/>
              <w:jc w:val="both"/>
              <w:rPr>
                <w:rFonts w:ascii="Merriweather Light" w:hAnsi="Merriweather Light" w:cstheme="minorHAnsi"/>
                <w:b/>
                <w:color w:val="011893"/>
                <w:sz w:val="20"/>
                <w:szCs w:val="20"/>
              </w:rPr>
            </w:pPr>
            <w:proofErr w:type="spellStart"/>
            <w:r w:rsidRPr="00250B51">
              <w:rPr>
                <w:rFonts w:ascii="Merriweather Light" w:hAnsi="Merriweather Light" w:cstheme="minorHAnsi"/>
                <w:b/>
                <w:color w:val="011893"/>
                <w:sz w:val="20"/>
                <w:szCs w:val="20"/>
              </w:rPr>
              <w:t>St.d</w:t>
            </w:r>
            <w:proofErr w:type="spellEnd"/>
            <w:r w:rsidRPr="00250B51">
              <w:rPr>
                <w:rFonts w:ascii="Merriweather Light" w:hAnsi="Merriweather Light" w:cstheme="minorHAnsi"/>
                <w:b/>
                <w:color w:val="011893"/>
                <w:sz w:val="20"/>
                <w:szCs w:val="20"/>
              </w:rPr>
              <w:t xml:space="preserve"> Error</w:t>
            </w:r>
          </w:p>
        </w:tc>
        <w:tc>
          <w:tcPr>
            <w:tcW w:w="1581" w:type="dxa"/>
            <w:tcBorders>
              <w:top w:val="single" w:sz="4" w:space="0" w:color="011893"/>
              <w:bottom w:val="single" w:sz="4" w:space="0" w:color="011893"/>
            </w:tcBorders>
            <w:shd w:val="clear" w:color="auto" w:fill="F2F2F2" w:themeFill="background1" w:themeFillShade="F2"/>
            <w:noWrap/>
            <w:vAlign w:val="bottom"/>
            <w:hideMark/>
          </w:tcPr>
          <w:p w14:paraId="3B02F840" w14:textId="77777777" w:rsidR="006B052C" w:rsidRPr="00250B51" w:rsidRDefault="006B052C" w:rsidP="00AA2E03">
            <w:pPr>
              <w:spacing w:line="276" w:lineRule="auto"/>
              <w:jc w:val="both"/>
              <w:rPr>
                <w:rFonts w:ascii="Merriweather Light" w:hAnsi="Merriweather Light" w:cstheme="minorHAnsi"/>
                <w:b/>
                <w:color w:val="011893"/>
                <w:sz w:val="20"/>
                <w:szCs w:val="20"/>
              </w:rPr>
            </w:pPr>
            <w:r w:rsidRPr="00250B51">
              <w:rPr>
                <w:rFonts w:ascii="Merriweather Light" w:hAnsi="Merriweather Light" w:cstheme="minorHAnsi"/>
                <w:b/>
                <w:color w:val="011893"/>
                <w:sz w:val="20"/>
                <w:szCs w:val="20"/>
              </w:rPr>
              <w:t xml:space="preserve">T. Values </w:t>
            </w:r>
          </w:p>
        </w:tc>
        <w:tc>
          <w:tcPr>
            <w:tcW w:w="1376" w:type="dxa"/>
            <w:tcBorders>
              <w:top w:val="single" w:sz="4" w:space="0" w:color="011893"/>
              <w:bottom w:val="single" w:sz="4" w:space="0" w:color="011893"/>
            </w:tcBorders>
            <w:shd w:val="clear" w:color="auto" w:fill="F2F2F2" w:themeFill="background1" w:themeFillShade="F2"/>
            <w:noWrap/>
            <w:vAlign w:val="bottom"/>
            <w:hideMark/>
          </w:tcPr>
          <w:p w14:paraId="7BFA789A" w14:textId="77777777" w:rsidR="006B052C" w:rsidRPr="00250B51" w:rsidRDefault="006B052C" w:rsidP="00AA2E03">
            <w:pPr>
              <w:spacing w:line="276" w:lineRule="auto"/>
              <w:jc w:val="both"/>
              <w:rPr>
                <w:rFonts w:ascii="Merriweather Light" w:hAnsi="Merriweather Light" w:cstheme="minorHAnsi"/>
                <w:b/>
                <w:color w:val="011893"/>
                <w:sz w:val="20"/>
                <w:szCs w:val="20"/>
              </w:rPr>
            </w:pPr>
            <w:r w:rsidRPr="00250B51">
              <w:rPr>
                <w:rFonts w:ascii="Merriweather Light" w:hAnsi="Merriweather Light" w:cstheme="minorHAnsi"/>
                <w:b/>
                <w:color w:val="011893"/>
                <w:sz w:val="20"/>
                <w:szCs w:val="20"/>
              </w:rPr>
              <w:t>P values</w:t>
            </w:r>
          </w:p>
        </w:tc>
        <w:tc>
          <w:tcPr>
            <w:tcW w:w="1788" w:type="dxa"/>
            <w:tcBorders>
              <w:top w:val="single" w:sz="4" w:space="0" w:color="011893"/>
              <w:bottom w:val="single" w:sz="4" w:space="0" w:color="011893"/>
            </w:tcBorders>
            <w:shd w:val="clear" w:color="auto" w:fill="F2F2F2" w:themeFill="background1" w:themeFillShade="F2"/>
          </w:tcPr>
          <w:p w14:paraId="3991B42F" w14:textId="77777777" w:rsidR="006B052C" w:rsidRPr="00250B51" w:rsidRDefault="006B052C" w:rsidP="00AA2E03">
            <w:pPr>
              <w:spacing w:line="276" w:lineRule="auto"/>
              <w:jc w:val="both"/>
              <w:rPr>
                <w:rFonts w:ascii="Merriweather Light" w:hAnsi="Merriweather Light" w:cstheme="minorHAnsi"/>
                <w:b/>
                <w:color w:val="011893"/>
                <w:sz w:val="20"/>
                <w:szCs w:val="20"/>
              </w:rPr>
            </w:pPr>
            <w:r w:rsidRPr="00250B51">
              <w:rPr>
                <w:rFonts w:ascii="Merriweather Light" w:hAnsi="Merriweather Light" w:cstheme="minorHAnsi"/>
                <w:b/>
                <w:color w:val="011893"/>
                <w:sz w:val="20"/>
                <w:szCs w:val="20"/>
              </w:rPr>
              <w:t>Decision</w:t>
            </w:r>
          </w:p>
        </w:tc>
      </w:tr>
      <w:tr w:rsidR="006B052C" w:rsidRPr="00A02380" w14:paraId="56397732" w14:textId="77777777" w:rsidTr="00250B51">
        <w:trPr>
          <w:trHeight w:val="300"/>
          <w:jc w:val="center"/>
        </w:trPr>
        <w:tc>
          <w:tcPr>
            <w:tcW w:w="2070" w:type="dxa"/>
            <w:tcBorders>
              <w:top w:val="single" w:sz="4" w:space="0" w:color="011893"/>
            </w:tcBorders>
            <w:shd w:val="clear" w:color="auto" w:fill="auto"/>
            <w:noWrap/>
            <w:vAlign w:val="bottom"/>
            <w:hideMark/>
          </w:tcPr>
          <w:p w14:paraId="7452E449" w14:textId="77777777" w:rsidR="006B052C" w:rsidRPr="00250B51" w:rsidRDefault="006B052C" w:rsidP="00AA2E03">
            <w:pPr>
              <w:spacing w:line="276" w:lineRule="auto"/>
              <w:jc w:val="both"/>
              <w:rPr>
                <w:rFonts w:ascii="Merriweather Light" w:hAnsi="Merriweather Light" w:cstheme="minorHAnsi"/>
                <w:bCs/>
                <w:sz w:val="20"/>
                <w:szCs w:val="20"/>
              </w:rPr>
            </w:pPr>
            <w:r w:rsidRPr="00250B51">
              <w:rPr>
                <w:rFonts w:ascii="Merriweather Light" w:hAnsi="Merriweather Light" w:cstheme="minorHAnsi"/>
                <w:bCs/>
                <w:sz w:val="20"/>
                <w:szCs w:val="20"/>
              </w:rPr>
              <w:t>SM -&gt; CFP</w:t>
            </w:r>
          </w:p>
        </w:tc>
        <w:tc>
          <w:tcPr>
            <w:tcW w:w="1581" w:type="dxa"/>
            <w:tcBorders>
              <w:top w:val="single" w:sz="4" w:space="0" w:color="011893"/>
            </w:tcBorders>
            <w:shd w:val="clear" w:color="auto" w:fill="FFFFFF" w:themeFill="background1"/>
            <w:noWrap/>
            <w:vAlign w:val="bottom"/>
            <w:hideMark/>
          </w:tcPr>
          <w:p w14:paraId="2B0CA840" w14:textId="77777777" w:rsidR="006B052C" w:rsidRPr="00A02380" w:rsidRDefault="006B052C"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0.094</w:t>
            </w:r>
          </w:p>
        </w:tc>
        <w:tc>
          <w:tcPr>
            <w:tcW w:w="1582" w:type="dxa"/>
            <w:tcBorders>
              <w:top w:val="single" w:sz="4" w:space="0" w:color="011893"/>
            </w:tcBorders>
            <w:shd w:val="clear" w:color="auto" w:fill="FFFFFF" w:themeFill="background1"/>
            <w:noWrap/>
            <w:vAlign w:val="bottom"/>
            <w:hideMark/>
          </w:tcPr>
          <w:p w14:paraId="1F9F701A" w14:textId="77777777" w:rsidR="006B052C" w:rsidRPr="00A02380" w:rsidRDefault="006B052C"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0.155</w:t>
            </w:r>
          </w:p>
        </w:tc>
        <w:tc>
          <w:tcPr>
            <w:tcW w:w="1581" w:type="dxa"/>
            <w:tcBorders>
              <w:top w:val="single" w:sz="4" w:space="0" w:color="011893"/>
            </w:tcBorders>
            <w:shd w:val="clear" w:color="auto" w:fill="FFFFFF" w:themeFill="background1"/>
            <w:noWrap/>
            <w:vAlign w:val="bottom"/>
            <w:hideMark/>
          </w:tcPr>
          <w:p w14:paraId="429C488C" w14:textId="77777777" w:rsidR="006B052C" w:rsidRPr="00A02380" w:rsidRDefault="006B052C"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0.609</w:t>
            </w:r>
          </w:p>
        </w:tc>
        <w:tc>
          <w:tcPr>
            <w:tcW w:w="1376" w:type="dxa"/>
            <w:tcBorders>
              <w:top w:val="single" w:sz="4" w:space="0" w:color="011893"/>
            </w:tcBorders>
            <w:shd w:val="clear" w:color="auto" w:fill="FFFFFF" w:themeFill="background1"/>
            <w:noWrap/>
            <w:vAlign w:val="bottom"/>
            <w:hideMark/>
          </w:tcPr>
          <w:p w14:paraId="0097F80F" w14:textId="77777777" w:rsidR="006B052C" w:rsidRPr="00A02380" w:rsidRDefault="006B052C"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0.271</w:t>
            </w:r>
          </w:p>
        </w:tc>
        <w:tc>
          <w:tcPr>
            <w:tcW w:w="1788" w:type="dxa"/>
            <w:tcBorders>
              <w:top w:val="single" w:sz="4" w:space="0" w:color="011893"/>
            </w:tcBorders>
            <w:shd w:val="clear" w:color="auto" w:fill="FFFFFF" w:themeFill="background1"/>
          </w:tcPr>
          <w:p w14:paraId="6113F8B7" w14:textId="77777777" w:rsidR="006B052C" w:rsidRPr="00A02380" w:rsidRDefault="006B052C"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Not Supported</w:t>
            </w:r>
          </w:p>
        </w:tc>
      </w:tr>
      <w:tr w:rsidR="006B052C" w:rsidRPr="00A02380" w14:paraId="60BD00F9" w14:textId="77777777" w:rsidTr="00250B51">
        <w:trPr>
          <w:trHeight w:val="300"/>
          <w:jc w:val="center"/>
        </w:trPr>
        <w:tc>
          <w:tcPr>
            <w:tcW w:w="2070" w:type="dxa"/>
            <w:tcBorders>
              <w:bottom w:val="single" w:sz="4" w:space="0" w:color="011893"/>
            </w:tcBorders>
            <w:shd w:val="clear" w:color="auto" w:fill="auto"/>
            <w:noWrap/>
            <w:vAlign w:val="bottom"/>
            <w:hideMark/>
          </w:tcPr>
          <w:p w14:paraId="759EA1FC" w14:textId="77777777" w:rsidR="006B052C" w:rsidRPr="00250B51" w:rsidRDefault="006B052C" w:rsidP="00AA2E03">
            <w:pPr>
              <w:spacing w:line="276" w:lineRule="auto"/>
              <w:jc w:val="both"/>
              <w:rPr>
                <w:rFonts w:ascii="Merriweather Light" w:hAnsi="Merriweather Light" w:cstheme="minorHAnsi"/>
                <w:bCs/>
                <w:sz w:val="20"/>
                <w:szCs w:val="20"/>
              </w:rPr>
            </w:pPr>
            <w:r w:rsidRPr="00250B51">
              <w:rPr>
                <w:rFonts w:ascii="Merriweather Light" w:hAnsi="Merriweather Light" w:cstheme="minorHAnsi"/>
                <w:bCs/>
                <w:sz w:val="20"/>
                <w:szCs w:val="20"/>
              </w:rPr>
              <w:t xml:space="preserve"> SM -&gt; CSR-C</w:t>
            </w:r>
          </w:p>
        </w:tc>
        <w:tc>
          <w:tcPr>
            <w:tcW w:w="1581" w:type="dxa"/>
            <w:tcBorders>
              <w:bottom w:val="single" w:sz="4" w:space="0" w:color="011893"/>
            </w:tcBorders>
            <w:shd w:val="clear" w:color="auto" w:fill="FFFFFF" w:themeFill="background1"/>
            <w:noWrap/>
            <w:vAlign w:val="bottom"/>
            <w:hideMark/>
          </w:tcPr>
          <w:p w14:paraId="61B9452B" w14:textId="77777777" w:rsidR="006B052C" w:rsidRPr="00A02380" w:rsidRDefault="006B052C"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0.910</w:t>
            </w:r>
          </w:p>
        </w:tc>
        <w:tc>
          <w:tcPr>
            <w:tcW w:w="1582" w:type="dxa"/>
            <w:tcBorders>
              <w:bottom w:val="single" w:sz="4" w:space="0" w:color="011893"/>
            </w:tcBorders>
            <w:shd w:val="clear" w:color="auto" w:fill="FFFFFF" w:themeFill="background1"/>
            <w:noWrap/>
            <w:vAlign w:val="bottom"/>
            <w:hideMark/>
          </w:tcPr>
          <w:p w14:paraId="1B9F6FF2" w14:textId="77777777" w:rsidR="006B052C" w:rsidRPr="00A02380" w:rsidRDefault="006B052C"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0.019</w:t>
            </w:r>
          </w:p>
        </w:tc>
        <w:tc>
          <w:tcPr>
            <w:tcW w:w="1581" w:type="dxa"/>
            <w:tcBorders>
              <w:bottom w:val="single" w:sz="4" w:space="0" w:color="011893"/>
            </w:tcBorders>
            <w:shd w:val="clear" w:color="auto" w:fill="FFFFFF" w:themeFill="background1"/>
            <w:noWrap/>
            <w:vAlign w:val="bottom"/>
            <w:hideMark/>
          </w:tcPr>
          <w:p w14:paraId="4E964AEA" w14:textId="77777777" w:rsidR="006B052C" w:rsidRPr="00A02380" w:rsidRDefault="006B052C"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48.038</w:t>
            </w:r>
          </w:p>
        </w:tc>
        <w:tc>
          <w:tcPr>
            <w:tcW w:w="1376" w:type="dxa"/>
            <w:tcBorders>
              <w:bottom w:val="single" w:sz="4" w:space="0" w:color="011893"/>
            </w:tcBorders>
            <w:shd w:val="clear" w:color="auto" w:fill="FFFFFF" w:themeFill="background1"/>
            <w:noWrap/>
            <w:vAlign w:val="bottom"/>
            <w:hideMark/>
          </w:tcPr>
          <w:p w14:paraId="76C4CF17" w14:textId="77777777" w:rsidR="006B052C" w:rsidRPr="00A02380" w:rsidRDefault="006B052C"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0.000</w:t>
            </w:r>
          </w:p>
        </w:tc>
        <w:tc>
          <w:tcPr>
            <w:tcW w:w="1788" w:type="dxa"/>
            <w:tcBorders>
              <w:bottom w:val="single" w:sz="4" w:space="0" w:color="011893"/>
            </w:tcBorders>
            <w:shd w:val="clear" w:color="auto" w:fill="FFFFFF" w:themeFill="background1"/>
          </w:tcPr>
          <w:p w14:paraId="7749AE9F" w14:textId="77777777" w:rsidR="006B052C" w:rsidRPr="00A02380" w:rsidRDefault="006B052C"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Supported</w:t>
            </w:r>
          </w:p>
        </w:tc>
      </w:tr>
    </w:tbl>
    <w:p w14:paraId="6E2F65C0" w14:textId="77777777" w:rsidR="006B052C" w:rsidRPr="00A02380" w:rsidRDefault="006B052C" w:rsidP="004726BE">
      <w:pPr>
        <w:spacing w:line="276" w:lineRule="auto"/>
        <w:jc w:val="both"/>
        <w:rPr>
          <w:rFonts w:ascii="Merriweather Light" w:hAnsi="Merriweather Light" w:cstheme="minorHAnsi"/>
          <w:b/>
          <w:i/>
          <w:sz w:val="20"/>
          <w:szCs w:val="20"/>
        </w:rPr>
      </w:pPr>
    </w:p>
    <w:p w14:paraId="4D65A92D" w14:textId="77777777" w:rsidR="00BB1535" w:rsidRDefault="00BB1535" w:rsidP="004726BE">
      <w:pPr>
        <w:spacing w:line="276" w:lineRule="auto"/>
        <w:jc w:val="both"/>
        <w:rPr>
          <w:rFonts w:ascii="Merriweather Light" w:hAnsi="Merriweather Light" w:cstheme="minorHAnsi"/>
          <w:sz w:val="20"/>
          <w:szCs w:val="20"/>
        </w:rPr>
        <w:sectPr w:rsidR="00BB1535" w:rsidSect="004726BE">
          <w:headerReference w:type="first" r:id="rId16"/>
          <w:footerReference w:type="first" r:id="rId17"/>
          <w:type w:val="continuous"/>
          <w:pgSz w:w="12240" w:h="15840" w:code="1"/>
          <w:pgMar w:top="1224" w:right="1080" w:bottom="1080" w:left="1080" w:header="504" w:footer="504" w:gutter="0"/>
          <w:cols w:space="432"/>
          <w:titlePg/>
          <w:docGrid w:linePitch="360"/>
        </w:sectPr>
      </w:pPr>
      <w:bookmarkStart w:id="34" w:name="_Toc43880240"/>
      <w:bookmarkStart w:id="35" w:name="_Toc45035051"/>
    </w:p>
    <w:p w14:paraId="4F049B34" w14:textId="2D1302F8" w:rsidR="004726BE" w:rsidRDefault="004726BE" w:rsidP="004726BE">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The findings of this inquiry </w:t>
      </w:r>
      <w:r w:rsidR="00B726A4">
        <w:rPr>
          <w:rFonts w:ascii="Merriweather Light" w:hAnsi="Merriweather Light" w:cstheme="minorHAnsi"/>
          <w:sz w:val="20"/>
          <w:szCs w:val="20"/>
        </w:rPr>
        <w:t>into</w:t>
      </w:r>
      <w:r w:rsidR="00B726A4" w:rsidRPr="00A02380">
        <w:rPr>
          <w:rFonts w:ascii="Merriweather Light" w:hAnsi="Merriweather Light" w:cstheme="minorHAnsi"/>
          <w:sz w:val="20"/>
          <w:szCs w:val="20"/>
        </w:rPr>
        <w:t xml:space="preserve"> </w:t>
      </w:r>
      <w:r w:rsidRPr="00A02380">
        <w:rPr>
          <w:rFonts w:ascii="Merriweather Light" w:hAnsi="Merriweather Light" w:cstheme="minorHAnsi"/>
          <w:sz w:val="20"/>
          <w:szCs w:val="20"/>
        </w:rPr>
        <w:t xml:space="preserve">the suggested </w:t>
      </w:r>
      <w:r w:rsidR="00B726A4">
        <w:rPr>
          <w:rFonts w:ascii="Merriweather Light" w:hAnsi="Merriweather Light" w:cstheme="minorHAnsi"/>
          <w:sz w:val="20"/>
          <w:szCs w:val="20"/>
        </w:rPr>
        <w:t>h</w:t>
      </w:r>
      <w:r w:rsidR="00B726A4" w:rsidRPr="00A02380">
        <w:rPr>
          <w:rFonts w:ascii="Merriweather Light" w:hAnsi="Merriweather Light" w:cstheme="minorHAnsi"/>
          <w:sz w:val="20"/>
          <w:szCs w:val="20"/>
        </w:rPr>
        <w:t xml:space="preserve">ypothesis </w:t>
      </w:r>
      <w:r w:rsidRPr="00A02380">
        <w:rPr>
          <w:rFonts w:ascii="Merriweather Light" w:hAnsi="Merriweather Light" w:cstheme="minorHAnsi"/>
          <w:sz w:val="20"/>
          <w:szCs w:val="20"/>
        </w:rPr>
        <w:t>are shown below. The evidence confirms two of the three direct assumptions, giving this an acceptable finding. This is because neither the null hypothesis nor the alternative (=0.094, P&gt;.05) is supported, and SM has no significant effect on CFP. The study also found a positive and statistically significant relationship between SM and CSR-C (=.910, P.05). It implies that the hypothesis is sound. The CSR and CFP findings, which were respectively =.207 and P.05. These findings indicate that the hypothesis is correct.</w:t>
      </w:r>
    </w:p>
    <w:p w14:paraId="7EC2E6D7" w14:textId="77777777" w:rsidR="004726BE" w:rsidRPr="00E57C73" w:rsidRDefault="004726BE" w:rsidP="00E57C73">
      <w:pPr>
        <w:pStyle w:val="Heading2"/>
        <w:spacing w:before="0" w:after="60" w:line="276" w:lineRule="auto"/>
        <w:jc w:val="both"/>
        <w:rPr>
          <w:rFonts w:ascii="Merriweather Light" w:hAnsi="Merriweather Light"/>
          <w:b/>
          <w:bCs/>
          <w:color w:val="011893"/>
          <w:sz w:val="20"/>
          <w:szCs w:val="20"/>
        </w:rPr>
      </w:pPr>
      <w:bookmarkStart w:id="36" w:name="_Toc116743640"/>
      <w:r w:rsidRPr="00E57C73">
        <w:rPr>
          <w:rFonts w:ascii="Merriweather Light" w:hAnsi="Merriweather Light"/>
          <w:b/>
          <w:bCs/>
          <w:color w:val="011893"/>
          <w:sz w:val="20"/>
          <w:szCs w:val="20"/>
        </w:rPr>
        <w:t>Mediation Analysis:</w:t>
      </w:r>
      <w:bookmarkEnd w:id="36"/>
    </w:p>
    <w:p w14:paraId="161EB4DA" w14:textId="2E8783EB" w:rsidR="004726BE" w:rsidRDefault="004726BE" w:rsidP="004726BE">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The current study focuses on the mediation process, with CSR playing an important role. However, in order to perform mediation research, the SEM-PLS software assessed certain indirect effects using the bootstrap technique and a bias-corrected bootstrap confidence interval of 90%. This was done to </w:t>
      </w:r>
      <w:r w:rsidR="00B726A4">
        <w:rPr>
          <w:rFonts w:ascii="Merriweather Light" w:hAnsi="Merriweather Light" w:cstheme="minorHAnsi"/>
          <w:sz w:val="20"/>
          <w:szCs w:val="20"/>
        </w:rPr>
        <w:t>en</w:t>
      </w:r>
      <w:r w:rsidR="00B726A4" w:rsidRPr="00A02380">
        <w:rPr>
          <w:rFonts w:ascii="Merriweather Light" w:hAnsi="Merriweather Light" w:cstheme="minorHAnsi"/>
          <w:sz w:val="20"/>
          <w:szCs w:val="20"/>
        </w:rPr>
        <w:t xml:space="preserve">sure </w:t>
      </w:r>
      <w:r w:rsidRPr="00A02380">
        <w:rPr>
          <w:rFonts w:ascii="Merriweather Light" w:hAnsi="Merriweather Light" w:cstheme="minorHAnsi"/>
          <w:sz w:val="20"/>
          <w:szCs w:val="20"/>
        </w:rPr>
        <w:t>the analysis's dependability. The results may be classified into the following categories:</w:t>
      </w:r>
    </w:p>
    <w:p w14:paraId="46108CD0" w14:textId="77777777" w:rsidR="00BB1535" w:rsidRDefault="00BB1535" w:rsidP="004726BE">
      <w:pPr>
        <w:spacing w:line="276" w:lineRule="auto"/>
        <w:jc w:val="both"/>
        <w:rPr>
          <w:rFonts w:ascii="Merriweather Light" w:hAnsi="Merriweather Light" w:cstheme="minorHAnsi"/>
          <w:sz w:val="20"/>
          <w:szCs w:val="20"/>
        </w:rPr>
        <w:sectPr w:rsidR="00BB1535" w:rsidSect="00BB1535">
          <w:type w:val="continuous"/>
          <w:pgSz w:w="12240" w:h="15840" w:code="1"/>
          <w:pgMar w:top="1224" w:right="1080" w:bottom="1080" w:left="1080" w:header="504" w:footer="504" w:gutter="0"/>
          <w:cols w:num="2" w:space="432"/>
          <w:titlePg/>
          <w:docGrid w:linePitch="360"/>
        </w:sectPr>
      </w:pPr>
    </w:p>
    <w:p w14:paraId="21C45FD7" w14:textId="50180F52" w:rsidR="00E57C73" w:rsidRPr="00A02380" w:rsidRDefault="00E57C73" w:rsidP="004726BE">
      <w:pPr>
        <w:spacing w:line="276" w:lineRule="auto"/>
        <w:jc w:val="both"/>
        <w:rPr>
          <w:rFonts w:ascii="Merriweather Light" w:hAnsi="Merriweather Light" w:cstheme="minorHAnsi"/>
          <w:sz w:val="20"/>
          <w:szCs w:val="20"/>
        </w:rPr>
      </w:pPr>
    </w:p>
    <w:p w14:paraId="4827D9BD" w14:textId="0902702C" w:rsidR="004726BE" w:rsidRDefault="004726BE" w:rsidP="004726BE">
      <w:pPr>
        <w:spacing w:line="276" w:lineRule="auto"/>
        <w:jc w:val="both"/>
        <w:rPr>
          <w:rFonts w:ascii="Merriweather Light" w:hAnsi="Merriweather Light" w:cstheme="minorHAnsi"/>
          <w:sz w:val="20"/>
          <w:szCs w:val="20"/>
        </w:rPr>
      </w:pPr>
      <w:r w:rsidRPr="00F00023">
        <w:rPr>
          <w:rFonts w:ascii="Merriweather Light" w:hAnsi="Merriweather Light" w:cstheme="minorHAnsi"/>
          <w:b/>
          <w:bCs/>
          <w:iCs/>
          <w:color w:val="011893"/>
          <w:sz w:val="20"/>
          <w:szCs w:val="20"/>
        </w:rPr>
        <w:t>Table 3.</w:t>
      </w:r>
      <w:r w:rsidRPr="00F00023">
        <w:rPr>
          <w:rFonts w:ascii="Merriweather Light" w:hAnsi="Merriweather Light" w:cstheme="minorHAnsi"/>
          <w:i/>
          <w:color w:val="011893"/>
          <w:sz w:val="20"/>
          <w:szCs w:val="20"/>
        </w:rPr>
        <w:t xml:space="preserve"> </w:t>
      </w:r>
      <w:r w:rsidRPr="00F00023">
        <w:rPr>
          <w:rFonts w:ascii="Merriweather Light" w:hAnsi="Merriweather Light" w:cstheme="minorHAnsi"/>
          <w:iCs/>
          <w:sz w:val="20"/>
          <w:szCs w:val="20"/>
        </w:rPr>
        <w:t>Mediation Analysis</w:t>
      </w:r>
      <w:r w:rsidRPr="00A02380">
        <w:rPr>
          <w:rFonts w:ascii="Merriweather Light" w:hAnsi="Merriweather Light" w:cstheme="minorHAnsi"/>
          <w:sz w:val="20"/>
          <w:szCs w:val="20"/>
        </w:rPr>
        <w:t xml:space="preserve"> </w:t>
      </w:r>
    </w:p>
    <w:tbl>
      <w:tblPr>
        <w:tblW w:w="10051" w:type="dxa"/>
        <w:jc w:val="center"/>
        <w:tblBorders>
          <w:top w:val="single" w:sz="4" w:space="0" w:color="011893"/>
          <w:bottom w:val="single" w:sz="4" w:space="0" w:color="011893"/>
          <w:insideH w:val="single" w:sz="4" w:space="0" w:color="auto"/>
        </w:tblBorders>
        <w:tblLayout w:type="fixed"/>
        <w:tblLook w:val="04A0" w:firstRow="1" w:lastRow="0" w:firstColumn="1" w:lastColumn="0" w:noHBand="0" w:noVBand="1"/>
      </w:tblPr>
      <w:tblGrid>
        <w:gridCol w:w="2070"/>
        <w:gridCol w:w="1596"/>
        <w:gridCol w:w="1596"/>
        <w:gridCol w:w="1596"/>
        <w:gridCol w:w="1596"/>
        <w:gridCol w:w="1597"/>
      </w:tblGrid>
      <w:tr w:rsidR="00E57C73" w:rsidRPr="00A02380" w14:paraId="60338989" w14:textId="77777777" w:rsidTr="00250B51">
        <w:trPr>
          <w:trHeight w:val="300"/>
          <w:jc w:val="center"/>
        </w:trPr>
        <w:tc>
          <w:tcPr>
            <w:tcW w:w="2070" w:type="dxa"/>
            <w:tcBorders>
              <w:top w:val="single" w:sz="4" w:space="0" w:color="011893"/>
              <w:bottom w:val="single" w:sz="4" w:space="0" w:color="011893"/>
            </w:tcBorders>
            <w:shd w:val="clear" w:color="auto" w:fill="F2F2F2" w:themeFill="background1" w:themeFillShade="F2"/>
            <w:noWrap/>
            <w:vAlign w:val="bottom"/>
            <w:hideMark/>
          </w:tcPr>
          <w:p w14:paraId="60490910" w14:textId="77777777" w:rsidR="00E57C73" w:rsidRPr="00250B51" w:rsidRDefault="00E57C73" w:rsidP="00AA2E03">
            <w:pPr>
              <w:spacing w:line="276" w:lineRule="auto"/>
              <w:jc w:val="both"/>
              <w:rPr>
                <w:rFonts w:ascii="Merriweather Light" w:hAnsi="Merriweather Light" w:cstheme="minorHAnsi"/>
                <w:color w:val="011893"/>
                <w:sz w:val="20"/>
                <w:szCs w:val="20"/>
              </w:rPr>
            </w:pPr>
          </w:p>
        </w:tc>
        <w:tc>
          <w:tcPr>
            <w:tcW w:w="1596" w:type="dxa"/>
            <w:tcBorders>
              <w:top w:val="single" w:sz="4" w:space="0" w:color="011893"/>
              <w:bottom w:val="single" w:sz="4" w:space="0" w:color="011893"/>
            </w:tcBorders>
            <w:shd w:val="clear" w:color="auto" w:fill="F2F2F2" w:themeFill="background1" w:themeFillShade="F2"/>
            <w:noWrap/>
            <w:vAlign w:val="bottom"/>
            <w:hideMark/>
          </w:tcPr>
          <w:p w14:paraId="6CED9A4E" w14:textId="77777777" w:rsidR="00E57C73" w:rsidRPr="00250B51" w:rsidRDefault="00E57C73" w:rsidP="00AA2E03">
            <w:pPr>
              <w:spacing w:line="276" w:lineRule="auto"/>
              <w:jc w:val="both"/>
              <w:rPr>
                <w:rFonts w:ascii="Merriweather Light" w:hAnsi="Merriweather Light" w:cstheme="minorHAnsi"/>
                <w:b/>
                <w:color w:val="011893"/>
                <w:sz w:val="20"/>
                <w:szCs w:val="20"/>
              </w:rPr>
            </w:pPr>
            <w:proofErr w:type="spellStart"/>
            <w:r w:rsidRPr="00250B51">
              <w:rPr>
                <w:rFonts w:ascii="Merriweather Light" w:hAnsi="Merriweather Light" w:cstheme="minorHAnsi"/>
                <w:b/>
                <w:color w:val="011893"/>
                <w:sz w:val="20"/>
                <w:szCs w:val="20"/>
              </w:rPr>
              <w:t>St.d</w:t>
            </w:r>
            <w:proofErr w:type="spellEnd"/>
            <w:r w:rsidRPr="00250B51">
              <w:rPr>
                <w:rFonts w:ascii="Merriweather Light" w:hAnsi="Merriweather Light" w:cstheme="minorHAnsi"/>
                <w:b/>
                <w:color w:val="011893"/>
                <w:sz w:val="20"/>
                <w:szCs w:val="20"/>
              </w:rPr>
              <w:t xml:space="preserve"> Beta</w:t>
            </w:r>
          </w:p>
        </w:tc>
        <w:tc>
          <w:tcPr>
            <w:tcW w:w="1596" w:type="dxa"/>
            <w:tcBorders>
              <w:top w:val="single" w:sz="4" w:space="0" w:color="011893"/>
              <w:bottom w:val="single" w:sz="4" w:space="0" w:color="011893"/>
            </w:tcBorders>
            <w:shd w:val="clear" w:color="auto" w:fill="F2F2F2" w:themeFill="background1" w:themeFillShade="F2"/>
            <w:noWrap/>
            <w:vAlign w:val="bottom"/>
            <w:hideMark/>
          </w:tcPr>
          <w:p w14:paraId="724586F6" w14:textId="77777777" w:rsidR="00E57C73" w:rsidRPr="00250B51" w:rsidRDefault="00E57C73" w:rsidP="00AA2E03">
            <w:pPr>
              <w:spacing w:line="276" w:lineRule="auto"/>
              <w:jc w:val="both"/>
              <w:rPr>
                <w:rFonts w:ascii="Merriweather Light" w:hAnsi="Merriweather Light" w:cstheme="minorHAnsi"/>
                <w:b/>
                <w:color w:val="011893"/>
                <w:sz w:val="20"/>
                <w:szCs w:val="20"/>
              </w:rPr>
            </w:pPr>
            <w:proofErr w:type="spellStart"/>
            <w:r w:rsidRPr="00250B51">
              <w:rPr>
                <w:rFonts w:ascii="Merriweather Light" w:hAnsi="Merriweather Light" w:cstheme="minorHAnsi"/>
                <w:b/>
                <w:color w:val="011893"/>
                <w:sz w:val="20"/>
                <w:szCs w:val="20"/>
              </w:rPr>
              <w:t>St.d</w:t>
            </w:r>
            <w:proofErr w:type="spellEnd"/>
            <w:r w:rsidRPr="00250B51">
              <w:rPr>
                <w:rFonts w:ascii="Merriweather Light" w:hAnsi="Merriweather Light" w:cstheme="minorHAnsi"/>
                <w:b/>
                <w:color w:val="011893"/>
                <w:sz w:val="20"/>
                <w:szCs w:val="20"/>
              </w:rPr>
              <w:t xml:space="preserve"> Error</w:t>
            </w:r>
          </w:p>
        </w:tc>
        <w:tc>
          <w:tcPr>
            <w:tcW w:w="1596" w:type="dxa"/>
            <w:tcBorders>
              <w:top w:val="single" w:sz="4" w:space="0" w:color="011893"/>
              <w:bottom w:val="single" w:sz="4" w:space="0" w:color="011893"/>
            </w:tcBorders>
            <w:shd w:val="clear" w:color="auto" w:fill="F2F2F2" w:themeFill="background1" w:themeFillShade="F2"/>
            <w:noWrap/>
            <w:vAlign w:val="bottom"/>
            <w:hideMark/>
          </w:tcPr>
          <w:p w14:paraId="70578978" w14:textId="77777777" w:rsidR="00E57C73" w:rsidRPr="00250B51" w:rsidRDefault="00E57C73" w:rsidP="00AA2E03">
            <w:pPr>
              <w:spacing w:line="276" w:lineRule="auto"/>
              <w:jc w:val="both"/>
              <w:rPr>
                <w:rFonts w:ascii="Merriweather Light" w:hAnsi="Merriweather Light" w:cstheme="minorHAnsi"/>
                <w:b/>
                <w:color w:val="011893"/>
                <w:sz w:val="20"/>
                <w:szCs w:val="20"/>
              </w:rPr>
            </w:pPr>
            <w:r w:rsidRPr="00250B51">
              <w:rPr>
                <w:rFonts w:ascii="Merriweather Light" w:hAnsi="Merriweather Light" w:cstheme="minorHAnsi"/>
                <w:b/>
                <w:color w:val="011893"/>
                <w:sz w:val="20"/>
                <w:szCs w:val="20"/>
              </w:rPr>
              <w:t>T. Values</w:t>
            </w:r>
          </w:p>
        </w:tc>
        <w:tc>
          <w:tcPr>
            <w:tcW w:w="1596" w:type="dxa"/>
            <w:tcBorders>
              <w:top w:val="single" w:sz="4" w:space="0" w:color="011893"/>
              <w:bottom w:val="single" w:sz="4" w:space="0" w:color="011893"/>
            </w:tcBorders>
            <w:shd w:val="clear" w:color="auto" w:fill="F2F2F2" w:themeFill="background1" w:themeFillShade="F2"/>
            <w:noWrap/>
            <w:vAlign w:val="bottom"/>
            <w:hideMark/>
          </w:tcPr>
          <w:p w14:paraId="6941B568" w14:textId="77777777" w:rsidR="00E57C73" w:rsidRPr="00250B51" w:rsidRDefault="00E57C73" w:rsidP="00AA2E03">
            <w:pPr>
              <w:spacing w:line="276" w:lineRule="auto"/>
              <w:jc w:val="both"/>
              <w:rPr>
                <w:rFonts w:ascii="Merriweather Light" w:hAnsi="Merriweather Light" w:cstheme="minorHAnsi"/>
                <w:b/>
                <w:color w:val="011893"/>
                <w:sz w:val="20"/>
                <w:szCs w:val="20"/>
              </w:rPr>
            </w:pPr>
            <w:r w:rsidRPr="00250B51">
              <w:rPr>
                <w:rFonts w:ascii="Merriweather Light" w:hAnsi="Merriweather Light" w:cstheme="minorHAnsi"/>
                <w:b/>
                <w:color w:val="011893"/>
                <w:sz w:val="20"/>
                <w:szCs w:val="20"/>
              </w:rPr>
              <w:t>P values</w:t>
            </w:r>
          </w:p>
        </w:tc>
        <w:tc>
          <w:tcPr>
            <w:tcW w:w="1597" w:type="dxa"/>
            <w:tcBorders>
              <w:top w:val="single" w:sz="4" w:space="0" w:color="011893"/>
              <w:bottom w:val="single" w:sz="4" w:space="0" w:color="011893"/>
            </w:tcBorders>
            <w:shd w:val="clear" w:color="auto" w:fill="F2F2F2" w:themeFill="background1" w:themeFillShade="F2"/>
          </w:tcPr>
          <w:p w14:paraId="18D93784" w14:textId="77777777" w:rsidR="00E57C73" w:rsidRPr="00250B51" w:rsidRDefault="00E57C73" w:rsidP="00AA2E03">
            <w:pPr>
              <w:spacing w:line="276" w:lineRule="auto"/>
              <w:jc w:val="both"/>
              <w:rPr>
                <w:rFonts w:ascii="Merriweather Light" w:hAnsi="Merriweather Light" w:cstheme="minorHAnsi"/>
                <w:b/>
                <w:color w:val="011893"/>
                <w:sz w:val="20"/>
                <w:szCs w:val="20"/>
              </w:rPr>
            </w:pPr>
            <w:r w:rsidRPr="00250B51">
              <w:rPr>
                <w:rFonts w:ascii="Merriweather Light" w:hAnsi="Merriweather Light" w:cstheme="minorHAnsi"/>
                <w:b/>
                <w:color w:val="011893"/>
                <w:sz w:val="20"/>
                <w:szCs w:val="20"/>
              </w:rPr>
              <w:t>Decision</w:t>
            </w:r>
          </w:p>
        </w:tc>
      </w:tr>
      <w:tr w:rsidR="00E57C73" w:rsidRPr="00A02380" w14:paraId="15DEE99B" w14:textId="77777777" w:rsidTr="00250B51">
        <w:trPr>
          <w:trHeight w:val="296"/>
          <w:jc w:val="center"/>
        </w:trPr>
        <w:tc>
          <w:tcPr>
            <w:tcW w:w="2070" w:type="dxa"/>
            <w:tcBorders>
              <w:top w:val="single" w:sz="4" w:space="0" w:color="011893"/>
            </w:tcBorders>
            <w:shd w:val="clear" w:color="auto" w:fill="auto"/>
            <w:noWrap/>
            <w:vAlign w:val="bottom"/>
            <w:hideMark/>
          </w:tcPr>
          <w:p w14:paraId="34302AA8" w14:textId="77777777" w:rsidR="00E57C73" w:rsidRPr="00250B51" w:rsidRDefault="00E57C73" w:rsidP="00AA2E03">
            <w:pPr>
              <w:spacing w:line="276" w:lineRule="auto"/>
              <w:jc w:val="both"/>
              <w:rPr>
                <w:rFonts w:ascii="Merriweather Light" w:hAnsi="Merriweather Light" w:cstheme="minorHAnsi"/>
                <w:bCs/>
                <w:sz w:val="20"/>
                <w:szCs w:val="20"/>
              </w:rPr>
            </w:pPr>
            <w:r w:rsidRPr="00250B51">
              <w:rPr>
                <w:rFonts w:ascii="Merriweather Light" w:hAnsi="Merriweather Light" w:cstheme="minorHAnsi"/>
                <w:bCs/>
                <w:sz w:val="20"/>
                <w:szCs w:val="20"/>
              </w:rPr>
              <w:t xml:space="preserve"> SM -&gt; CSR-&gt; CFP</w:t>
            </w:r>
          </w:p>
        </w:tc>
        <w:tc>
          <w:tcPr>
            <w:tcW w:w="1596" w:type="dxa"/>
            <w:tcBorders>
              <w:top w:val="single" w:sz="4" w:space="0" w:color="011893"/>
            </w:tcBorders>
            <w:shd w:val="clear" w:color="auto" w:fill="auto"/>
            <w:noWrap/>
            <w:vAlign w:val="bottom"/>
            <w:hideMark/>
          </w:tcPr>
          <w:p w14:paraId="36E1395C" w14:textId="77777777" w:rsidR="00E57C73" w:rsidRPr="00A02380" w:rsidRDefault="00E57C73"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0.188</w:t>
            </w:r>
          </w:p>
        </w:tc>
        <w:tc>
          <w:tcPr>
            <w:tcW w:w="1596" w:type="dxa"/>
            <w:tcBorders>
              <w:top w:val="single" w:sz="4" w:space="0" w:color="011893"/>
            </w:tcBorders>
            <w:shd w:val="clear" w:color="auto" w:fill="auto"/>
            <w:noWrap/>
            <w:vAlign w:val="bottom"/>
            <w:hideMark/>
          </w:tcPr>
          <w:p w14:paraId="79625F73" w14:textId="77777777" w:rsidR="00E57C73" w:rsidRPr="00A02380" w:rsidRDefault="00E57C73"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0.112</w:t>
            </w:r>
          </w:p>
        </w:tc>
        <w:tc>
          <w:tcPr>
            <w:tcW w:w="1596" w:type="dxa"/>
            <w:tcBorders>
              <w:top w:val="single" w:sz="4" w:space="0" w:color="011893"/>
            </w:tcBorders>
            <w:shd w:val="clear" w:color="auto" w:fill="auto"/>
            <w:noWrap/>
            <w:vAlign w:val="bottom"/>
            <w:hideMark/>
          </w:tcPr>
          <w:p w14:paraId="4DF4C799" w14:textId="77777777" w:rsidR="00E57C73" w:rsidRPr="00A02380" w:rsidRDefault="00E57C73"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1.682</w:t>
            </w:r>
          </w:p>
        </w:tc>
        <w:tc>
          <w:tcPr>
            <w:tcW w:w="1596" w:type="dxa"/>
            <w:tcBorders>
              <w:top w:val="single" w:sz="4" w:space="0" w:color="011893"/>
            </w:tcBorders>
            <w:shd w:val="clear" w:color="auto" w:fill="auto"/>
            <w:noWrap/>
            <w:vAlign w:val="bottom"/>
            <w:hideMark/>
          </w:tcPr>
          <w:p w14:paraId="429A0622" w14:textId="77777777" w:rsidR="00E57C73" w:rsidRPr="00A02380" w:rsidRDefault="00E57C73"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0.046</w:t>
            </w:r>
          </w:p>
        </w:tc>
        <w:tc>
          <w:tcPr>
            <w:tcW w:w="1597" w:type="dxa"/>
            <w:tcBorders>
              <w:top w:val="single" w:sz="4" w:space="0" w:color="011893"/>
            </w:tcBorders>
            <w:shd w:val="clear" w:color="auto" w:fill="auto"/>
          </w:tcPr>
          <w:p w14:paraId="29EA201E" w14:textId="77777777" w:rsidR="00E57C73" w:rsidRPr="00A02380" w:rsidRDefault="00E57C73" w:rsidP="00AA2E03">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Supported</w:t>
            </w:r>
          </w:p>
        </w:tc>
      </w:tr>
    </w:tbl>
    <w:p w14:paraId="3D95EEF3" w14:textId="77777777" w:rsidR="00E57C73" w:rsidRPr="00A02380" w:rsidRDefault="00E57C73" w:rsidP="004726BE">
      <w:pPr>
        <w:spacing w:line="276" w:lineRule="auto"/>
        <w:jc w:val="both"/>
        <w:rPr>
          <w:rFonts w:ascii="Merriweather Light" w:hAnsi="Merriweather Light" w:cstheme="minorHAnsi"/>
          <w:sz w:val="20"/>
          <w:szCs w:val="20"/>
        </w:rPr>
      </w:pPr>
    </w:p>
    <w:p w14:paraId="3B2B5FF5" w14:textId="77777777" w:rsidR="00BB1535" w:rsidRDefault="00BB1535" w:rsidP="004726BE">
      <w:pPr>
        <w:spacing w:line="276" w:lineRule="auto"/>
        <w:jc w:val="both"/>
        <w:rPr>
          <w:rFonts w:ascii="Merriweather Light" w:hAnsi="Merriweather Light" w:cstheme="minorHAnsi"/>
          <w:sz w:val="20"/>
          <w:szCs w:val="20"/>
        </w:rPr>
        <w:sectPr w:rsidR="00BB1535" w:rsidSect="004726BE">
          <w:type w:val="continuous"/>
          <w:pgSz w:w="12240" w:h="15840" w:code="1"/>
          <w:pgMar w:top="1224" w:right="1080" w:bottom="1080" w:left="1080" w:header="504" w:footer="504" w:gutter="0"/>
          <w:cols w:space="432"/>
          <w:titlePg/>
          <w:docGrid w:linePitch="360"/>
        </w:sectPr>
      </w:pPr>
    </w:p>
    <w:p w14:paraId="3BD8F68F" w14:textId="5724D5D0" w:rsidR="004726BE" w:rsidRDefault="004726BE" w:rsidP="004726BE">
      <w:pPr>
        <w:spacing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Following an investigation of the direct impacts of latent variables and a move into a mediation analysis, the results in the following table show that CSR mediates the association between CSR-C and CFP. Furthermore, the outcome may be seen as proof that the </w:t>
      </w:r>
      <w:r w:rsidR="00B726A4">
        <w:rPr>
          <w:rFonts w:ascii="Merriweather Light" w:hAnsi="Merriweather Light" w:cstheme="minorHAnsi"/>
          <w:sz w:val="20"/>
          <w:szCs w:val="20"/>
        </w:rPr>
        <w:t>h</w:t>
      </w:r>
      <w:r w:rsidR="00B726A4" w:rsidRPr="00A02380">
        <w:rPr>
          <w:rFonts w:ascii="Merriweather Light" w:hAnsi="Merriweather Light" w:cstheme="minorHAnsi"/>
          <w:sz w:val="20"/>
          <w:szCs w:val="20"/>
        </w:rPr>
        <w:t xml:space="preserve">ypothesis </w:t>
      </w:r>
      <w:r w:rsidRPr="00A02380">
        <w:rPr>
          <w:rFonts w:ascii="Merriweather Light" w:hAnsi="Merriweather Light" w:cstheme="minorHAnsi"/>
          <w:sz w:val="20"/>
          <w:szCs w:val="20"/>
        </w:rPr>
        <w:t>was right. This is because the relationship fits the criteria for a significance level less than 0.05</w:t>
      </w:r>
      <w:r w:rsidR="00B726A4">
        <w:rPr>
          <w:rFonts w:ascii="Merriweather Light" w:hAnsi="Merriweather Light" w:cstheme="minorHAnsi"/>
          <w:sz w:val="20"/>
          <w:szCs w:val="20"/>
        </w:rPr>
        <w:t>,</w:t>
      </w:r>
      <w:r w:rsidRPr="00A02380">
        <w:rPr>
          <w:rFonts w:ascii="Merriweather Light" w:hAnsi="Merriweather Light" w:cstheme="minorHAnsi"/>
          <w:sz w:val="20"/>
          <w:szCs w:val="20"/>
        </w:rPr>
        <w:t xml:space="preserve"> and the beta values are more than 0.164.</w:t>
      </w:r>
    </w:p>
    <w:p w14:paraId="057DF55B" w14:textId="77777777" w:rsidR="00E57C73" w:rsidRPr="00A02380" w:rsidRDefault="00E57C73" w:rsidP="004726BE">
      <w:pPr>
        <w:spacing w:line="276" w:lineRule="auto"/>
        <w:jc w:val="both"/>
        <w:rPr>
          <w:rFonts w:ascii="Merriweather Light" w:hAnsi="Merriweather Light" w:cstheme="minorHAnsi"/>
          <w:sz w:val="20"/>
          <w:szCs w:val="20"/>
        </w:rPr>
      </w:pPr>
    </w:p>
    <w:bookmarkEnd w:id="34"/>
    <w:bookmarkEnd w:id="35"/>
    <w:p w14:paraId="0D77B00F" w14:textId="77777777" w:rsidR="004726BE" w:rsidRPr="00E57C73" w:rsidRDefault="004726BE" w:rsidP="00E57C73">
      <w:pPr>
        <w:pStyle w:val="Heading2"/>
        <w:spacing w:before="0" w:after="60" w:line="276" w:lineRule="auto"/>
        <w:jc w:val="both"/>
        <w:rPr>
          <w:rFonts w:ascii="Merriweather Light" w:hAnsi="Merriweather Light"/>
          <w:b/>
          <w:bCs/>
          <w:color w:val="011893"/>
          <w:sz w:val="22"/>
          <w:szCs w:val="22"/>
        </w:rPr>
      </w:pPr>
      <w:r w:rsidRPr="00E57C73">
        <w:rPr>
          <w:rFonts w:ascii="Merriweather Light" w:hAnsi="Merriweather Light"/>
          <w:b/>
          <w:bCs/>
          <w:color w:val="011893"/>
          <w:sz w:val="22"/>
          <w:szCs w:val="22"/>
        </w:rPr>
        <w:t xml:space="preserve">Conclusion </w:t>
      </w:r>
    </w:p>
    <w:p w14:paraId="43A9D656" w14:textId="3DE630F6" w:rsidR="004726BE" w:rsidRPr="00A02380" w:rsidRDefault="004726BE" w:rsidP="006B052C">
      <w:pPr>
        <w:spacing w:after="120"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Social media is always changing due to the dynamic nature of this information system. Companies are placing a premium on social media as a cutting-edge communication tool because media consumers care greatly about the flexibility of the channels they use to interact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{"citationItems":[{"id":"ITEM-1","itemData":{"DOI":"10.1108/IMR-12-2021-0375","ISSN":"02651335","abstract":"Purpose: The purpose of this study is to analyze the corporate social responsibility (CSR) communication of the Fortune top-100 companies during the coronavirus disease 2019 (COVID-19) pandemic. Specifically, the authors examine the messages of international companies' CSR communication to customers during the pandemic, focusing particularly on the companies' posts on Twitter. In addition to identifying what international companies communicate, the authors determine the motives of companies' COVID-19-related CSR communication as well as how companies strategically approach CSR communication. Design/methodology/approach: Using Nvivo, the authors carried out content analysis of the COVID-19-related tweets of the Fortune top-100 companies using Twitter's ‘advanced search’ tool. The analysis included tweets posted between 1 February 2020 and September 2021, a period that represents the peak of the pandemic. Findings: Study findings indicate that COVID-19-related CSR responses of international companies are driven by commitment to organizational values, attainment of recognition for timely response to COVID-19, altruistic motives to combat COVID-19 and congruence with social movements that create expectations from customers to respond to the COVID-19 pandemic. Most companies adopt a response strategy to CSR communication, by informing customers of their COVID-19 responses in relation to several issues such as alterations in companies' processes and the impacts of the pandemic on health. Practical implications: The study suggests that the CSR practices of companies should be strategically embedded in organizations' international marketing plans and not remain just on-off responses to crises should marketing-related benefits be obtained. Several recommendations are made to strengthen companies' adoption of a proactive, engagement-oriented approach to CSR communication. Originality/value: The CSR communication of international companies during external crises has not been sufficiently studied in relation to international marketing, as most studies considered internal corporate crises. Focusing on an external crisis (COVID-19 pandemic) with global impacts, this study advances existing knowledge on international companies' CSR communication to their customers. Additionally, this study offers new insights on the role of integrated, coordinated and consistent CSR messages and strategies, which are targeted to the needs and expectations of domestic and international…","author":[{"dropping-particle":"","family":"Farmaki","given":"Anna","non-dropping-particle":"","parse-names":false,"suffix":""},{"dropping-particle":"","family":"Hadjielias","given":"Elias","non-dropping-particle":"","parse-names":false,"suffix":""},{"dropping-particle":"","family":"Olya","given":"Hossein","non-dropping-particle":"","parse-names":false,"suffix":""},{"dropping-particle":"","family":"Taheri","given":"Babak","non-dropping-particle":"","parse-names":false,"suffix":""},{"dropping-particle":"","family":"Hadjielia Drotarova","given":"Maria","non-dropping-particle":"","parse-names":false,"suffix":""}],"container-title":"International Marketing Review","id":"ITEM-1","issued":{"date-parts":[["2022"]]},"publisher":"Emerald Publishing","title":"CSR communication and international marketing: Insights from the COVID-19 pandemic","type":"article-journal"},"uris":["http://www.mendeley.com/documents/?uuid=6ff190d3-5311-392b-bd05-ffaa18f6b22b"]}],"mendeley":{"formattedCitation":"(Farmaki et al., 2022)","plainTextFormattedCitation":"(Farmaki et al., 2022)","previouslyFormattedCitation":"(Farmaki et al., 2022)"},"properties":{"noteIndex":0},"schema":"https://github.com/citation-style-language/schema/raw/master/csl-citation.json"}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(Farmaki et al., </w:t>
      </w:r>
      <w:hyperlink w:anchor="Farmaki" w:history="1">
        <w:r w:rsidRPr="00660DF4">
          <w:rPr>
            <w:rStyle w:val="Hyperlink"/>
            <w:rFonts w:ascii="Merriweather Light" w:hAnsi="Merriweather Light" w:cstheme="minorHAnsi"/>
            <w:noProof/>
            <w:sz w:val="20"/>
            <w:szCs w:val="20"/>
          </w:rPr>
          <w:t>2022</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 xml:space="preserve">. The fast growth of social media and its large user base are two important selling advantages for today's businesses. Modern </w:t>
      </w:r>
      <w:r w:rsidRPr="00A02380">
        <w:rPr>
          <w:rFonts w:ascii="Merriweather Light" w:hAnsi="Merriweather Light" w:cstheme="minorHAnsi"/>
          <w:sz w:val="20"/>
          <w:szCs w:val="20"/>
        </w:rPr>
        <w:t xml:space="preserve">companies may use Facebook, Twitter, YouTube, Instagram, and other social media sites as communication channels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{"citationItems":[{"id":"ITEM-1","itemData":{"DOI":"10.1108/MD-01-2021-0024","ISSN":"00251747","abstract":"Purpose: The purpose of the current study is to revisit the relationship between CSR and firm market performance. The authors examine whether a gap between the firm's internal and external CSR moderates the CSR-firm market performance relationship. Additionally, the authors propose that the moderating effect of the CSR gap on this relationship is mediated by firm visibility. Design/methodology/approach: The initial sample is the Fortune 500 firms during the years 2004–2013. The final panel data sample consisted of 1,300 firms and 6,128 observations from 2004 to 2013. The authors obtained data from five different sources: Compustat North America Fundamental Annual, GMI Ratings, Execucomp, IBES and KLD Stats. Findings: The results of this research find evidence that both internal CSR and external CSR were positively related to firm market performance, but that the relationship was stronger for firms with equal emphasis on external and internal CSR activities. Furthermore, the negative moderating effect of the CSR gap was mediated by the firm visibility. Originality/value: The findings of the study advance our understanding of the CSR-FP relationship. First, the theoretical arguments and the empirical evidence highlight that the CSR-FP relationship exists and that its magnitude is contingent upon the gap between internal and external CSR investments. Second, the authors enhanced theoretical understanding of how and why CSR relates to firm performance by exploring firm visibility as a mediator. Specifically, the authors introduced firm visibility as a mechanism which explains the effect of the interaction of overall CSR with the CSR gap on firm performance.","author":[{"dropping-particle":"","family":"Al-Shammari","given":"Marwan A.","non-dropping-particle":"","parse-names":false,"suffix":""},{"dropping-particle":"","family":"Al-Shammari","given":"Hussam","non-dropping-particle":"","parse-names":false,"suffix":""},{"dropping-particle":"","family":"Banerjee","given":"Soumendra Nath","non-dropping-particle":"","parse-names":false,"suffix":""}],"container-title":"Management Decision","id":"ITEM-1","issue":"6","issued":{"date-parts":[["2022","7","12"]]},"page":"1560-1584","publisher":"Emerald Group Holdings Ltd.","title":"CSR discrepancies, firm visibility and performance: a mediated moderation analysis","type":"article-journal","volume":"60"},"uris":["http://www.mendeley.com/documents/?uuid=d66004dc-15cc-362f-915c-96b457f8e2d9"]}],"mendeley":{"formattedCitation":"(Al-Shammari, Al-Shammari, et al., 2022)","plainTextFormattedCitation":"(Al-Shammari, Al-Shammari, et al., 2022)","previouslyFormattedCitation":"(Al-Shammari, Al-Shammari, et al., 2022)"},"properties":{"noteIndex":0},"schema":"https://github.com/citation-style-language/schema/raw/master/csl-citation.json"}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(Al-Shammari, Al-Shammari, et al., </w:t>
      </w:r>
      <w:hyperlink w:anchor="AlShammari" w:history="1">
        <w:r w:rsidRPr="00660DF4">
          <w:rPr>
            <w:rStyle w:val="Hyperlink"/>
            <w:rFonts w:ascii="Merriweather Light" w:hAnsi="Merriweather Light" w:cstheme="minorHAnsi"/>
            <w:noProof/>
            <w:sz w:val="20"/>
            <w:szCs w:val="20"/>
          </w:rPr>
          <w:t>2022</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 xml:space="preserve">. Furthermore, modern organizations may keep their stakeholders up to speed on their most current activities by communicating the firm's success to those stakeholders. </w:t>
      </w:r>
      <w:r w:rsidR="00B726A4">
        <w:rPr>
          <w:rFonts w:ascii="Merriweather Light" w:hAnsi="Merriweather Light" w:cstheme="minorHAnsi"/>
          <w:sz w:val="20"/>
          <w:szCs w:val="20"/>
        </w:rPr>
        <w:t>With t</w:t>
      </w:r>
      <w:r w:rsidR="00B726A4" w:rsidRPr="00A02380">
        <w:rPr>
          <w:rFonts w:ascii="Merriweather Light" w:hAnsi="Merriweather Light" w:cstheme="minorHAnsi"/>
          <w:sz w:val="20"/>
          <w:szCs w:val="20"/>
        </w:rPr>
        <w:t xml:space="preserve">he </w:t>
      </w:r>
      <w:r w:rsidRPr="00A02380">
        <w:rPr>
          <w:rFonts w:ascii="Merriweather Light" w:hAnsi="Merriweather Light" w:cstheme="minorHAnsi"/>
          <w:sz w:val="20"/>
          <w:szCs w:val="20"/>
        </w:rPr>
        <w:t xml:space="preserve">spread of digital technology, more than 3.6 billion people worldwide use social media, which is predicted to rise to more than 4 billion by 2020. Using the internet for communication and connection development might benefit CSR programs by improving stakeholder ties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{"citationItems":[{"id":"ITEM-1","itemData":{"DOI":"10.1108/CCIJ-04-2018-0045","ISSN":"13563289","abstract":"Purpose: The purpose of this paper is to discuss the corporate behavior of Volkswagen in its emissions scandal. It describes and analyzes a complex ethics dilemma within the purview of corporate social responsibility (CSR) and corporate sustainability (CS) and examines how this dilemma impacts critical stakeholders, thus offering several “opportunities to learn” for professionals. Design/methodology/approach: The case takes a stakeholder perspective, applying Cavanagh et al. (1981) and Gao’s (2008) ethical judgement framework. It is situated within a qualitative approach to textual analysis. Social actors, topics and evaluative statements were identified and grouped into broader categories. Findings: Six major stakeholders were directly affected by Volkswagen’s behavior: customers, investors and shareholders, the US Environmental Protection Agency, German authorities, European institutions and society-at-large. Stakeholder concerns were condensed into three dominant themes: economic, legal and environmental. According to the ethical judgment framework, Volkswagen corporate behavior showed ethical problems, theoretically demonstrating that under no ethical principle was Volkswagen’s actions justifiable, even under instrumental justifications. Research limitations/implications: The analysis was primarily based on corporate material and news media reporting. Consequently, diverse managers’ prospectives and opinions are not entirely captured. Practical implications: This paper offers several “opportunities to learn” for corporate communication professionals. Originality/value: The focus on stakeholder perspectives allows professionals to take an outside-in approach when evaluating the impact of corporate actions on stakeholders’ interests. The case analysis through Cavanagh et al. (1981) and Gao’s (2008) ethical judgment framework provides a practical theoretical instrument to assess corporate behaviors that can be used both as pre- and post-evaluations of corporate actions on CSR and CS issues.","author":[{"dropping-particle":"","family":"Valentini","given":"Chiara","non-dropping-particle":"","parse-names":false,"suffix":""},{"dropping-particle":"","family":"Kruckeberg","given":"Dean","non-dropping-particle":"","parse-names":false,"suffix":""}],"container-title":"Corporate Communications","id":"ITEM-1","issue":"4","issued":{"date-parts":[["2018","10","9"]]},"page":"528-543","publisher":"Emerald Group Holdings Ltd.","title":"“Walking the environmental responsibility talk” in the automobile industry: An ethics case study of the Volkswagen environmental scandal","type":"article-journal","volume":"23"},"uris":["http://www.mendeley.com/documents/?uuid=0260cba1-57ce-3b9a-a32a-bb6eaffa6ff5"]},{"id":"ITEM-2","itemData":{"DOI":"10.1108/S1548-643520210000018008","ISSN":"19447035","abstract":"The extant literature provides much-needed support to understand marketing accountability and how marketing actions are related to financial performance (FP). However, we have limited understanding of the relationships between marketing actions and firms’ social performance (SP) and environmental performance (EP). Understanding these links is critical to enhancing sustainable FP, SP, and EP. Moreover, the literature provides limited understanding of the measures by which SP and EP may be operationalized, or the data necessary to reach a conclusion. This study bridges these gaps by extensively reviewing the extant literature to offer a set of measures and data sources to operationalize SP and EP, and empirically show their relationships with marketing actions. We find that greenhouse gas (GHG) emission, environmental disclosure score, waste reduction, energy consumption, and recycling are prominent measures of EP, and that social disclosure score, philanthropy or community spending, and diversity of gender and race are prominent measures of SP. The KLD, ASSET4, and Bloomberg are prominent sources of data that can be used to operationalize SP, to which CDP may be added for EP. We also show that marketing actions positively affect EP and SP. This study contributes to the extant literature on SP and EP by identifying measures and data sources and linking marketing actions to both performance types. It contributes to policy development by identifying the importance of EP and SP and how marketing actions can help achieve such performance.","author":[{"dropping-particle":"","family":"Sharma","given":"Amalesh","non-dropping-particle":"","parse-names":false,"suffix":""},{"dropping-particle":"","family":"Borah","given":"Sourav Bikash","non-dropping-particle":"","parse-names":false,"suffix":""},{"dropping-particle":"","family":"Adhikary","given":"Anirban","non-dropping-particle":"","parse-names":false,"suffix":""},{"dropping-particle":"","family":"Haque","given":"Tanjum","non-dropping-particle":"","parse-names":false,"suffix":""}],"container-title":"Review of Marketing Research","id":"ITEM-2","issued":{"date-parts":[["2021"]]},"page":"193-232","publisher":"Emerald Group Holdings Ltd.","title":"Accountability beyond profitability: Understanding the impact of marketing actions on environmental and social performance","type":"article-journal","volume":"18"},"uris":["http://www.mendeley.com/documents/?uuid=137f108d-5fc1-3f3b-b403-f15fb016209a"]}],"mendeley":{"formattedCitation":"(A. Sharma et al., 2021; Valentini &amp; Kruckeberg, 2018)","plainTextFormattedCitation":"(A. Sharma et al., 2021; Valentini &amp; Kruckeberg, 2018)","previouslyFormattedCitation":"(A. Sharma et al., 2021; Valentini &amp; Kruckeberg, 2018)"},"properties":{"noteIndex":0},"schema":"https://github.com/citation-style-language/schema/raw/master/csl-citation.json"}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(A. Sharma et al., 2021; Valentini &amp; Kruckeberg, </w:t>
      </w:r>
      <w:hyperlink w:anchor="Sharma" w:history="1">
        <w:r w:rsidRPr="00660DF4">
          <w:rPr>
            <w:rStyle w:val="Hyperlink"/>
            <w:rFonts w:ascii="Merriweather Light" w:hAnsi="Merriweather Light" w:cstheme="minorHAnsi"/>
            <w:noProof/>
            <w:sz w:val="20"/>
            <w:szCs w:val="20"/>
          </w:rPr>
          <w:t>2018</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w:t>
      </w:r>
    </w:p>
    <w:p w14:paraId="6590857F" w14:textId="42F1324C" w:rsidR="004726BE" w:rsidRPr="00A02380" w:rsidRDefault="004726BE" w:rsidP="006B052C">
      <w:pPr>
        <w:spacing w:after="120" w:line="276" w:lineRule="auto"/>
        <w:ind w:firstLine="360"/>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For a very long time, people have considered a company's financial performance to be one of its most significant intangible assets. It affects the customers' and other stakeholders' perceptions of the company, such as whether or not they are </w:t>
      </w:r>
      <w:r w:rsidRPr="00A02380">
        <w:rPr>
          <w:rFonts w:ascii="Merriweather Light" w:hAnsi="Merriweather Light" w:cstheme="minorHAnsi"/>
          <w:sz w:val="20"/>
          <w:szCs w:val="20"/>
        </w:rPr>
        <w:lastRenderedPageBreak/>
        <w:t>loyal, supportive, or satisfied with the company. By analyzing the many aspects of CSR communication and corporate financial performance, it is possible to get valuable insights into the traits generally seen as the most significant and their connection to the company's financial performance. The data will indicate that the six dimensions are important in conveying CSR efforts. One example is personal relevance, which prompts customers to pay greater attention when the topic is personal. This enables practitioners in the telecom industry to select which aspect of their CSR initiatives they should focus on when publicizing such actions. In addition, it will be useful to be aware that to communicate CSR activities more effectively</w:t>
      </w:r>
      <w:r w:rsidR="00B726A4">
        <w:rPr>
          <w:rFonts w:ascii="Merriweather Light" w:hAnsi="Merriweather Light" w:cstheme="minorHAnsi"/>
          <w:sz w:val="20"/>
          <w:szCs w:val="20"/>
        </w:rPr>
        <w:t>;</w:t>
      </w:r>
      <w:r w:rsidR="00B726A4" w:rsidRPr="00A02380">
        <w:rPr>
          <w:rFonts w:ascii="Merriweather Light" w:hAnsi="Merriweather Light" w:cstheme="minorHAnsi"/>
          <w:sz w:val="20"/>
          <w:szCs w:val="20"/>
        </w:rPr>
        <w:t xml:space="preserve"> </w:t>
      </w:r>
      <w:r w:rsidRPr="00A02380">
        <w:rPr>
          <w:rFonts w:ascii="Merriweather Light" w:hAnsi="Merriweather Light" w:cstheme="minorHAnsi"/>
          <w:sz w:val="20"/>
          <w:szCs w:val="20"/>
        </w:rPr>
        <w:t xml:space="preserve">firms should pay more attention to social media platforms, which stakeholders predominantly use from various locations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{"citationItems":[{"id":"ITEM-1","itemData":{"DOI":"10.1108/S2043-052320180000013006","ISSN":"20430531","abstract":"This chapter investigates how integrated reporting (IR) can contribute to a better corporate social responsibility (CSR) implementation through diffusion and adoption of CSR practices and actually applying the CSR discourse. Based on innovation diffusion theory, we intend to analyse the diffusion and adoption of CSR on the grounds of IR. The purpose of this study is to demonstrate that IR does indeed represent a mean of reducing the gaps between CSR discourse and its implementation. In order to select the most relevant papers in the area of CSR and IR, we applied the method of positive research. Therefore, the review of literature was made by analysing various theoretical and empirical studies. Setting the main coordinates for CSR and IR through theoretical background, we continue with an empirical analysis on 23 companies that voluntarily publish integrated reports. We intend to demonstrate that IR encourages a diffusion of CSR practices, as companies become more interested in their CSR behaviour.","author":[{"dropping-particle":"","family":"Dragu","given":"Ioana Maria","non-dropping-particle":"","parse-names":false,"suffix":""}],"container-title":"Developments in Corporate Governance and Responsibility","id":"ITEM-1","issued":{"date-parts":[["2018"]]},"page":"43-70","publisher":"Emerald Group Publishing Ltd.","title":"Adoption of integrated reporting an attempt to reduce the gaps between csr discourse and its implementation","type":"article-journal","volume":"13"},"uris":["http://www.mendeley.com/documents/?uuid=c6d0efc6-a979-375f-ab78-fc63aa601851"]},{"id":"ITEM-2","itemData":{"DOI":"10.1108/AAAJ-11-2013-1526","ISSN":"09513574","abstract":"Purpose: Based on the principles of stakeholder theory, the purpose of this paper is to explore the relationship between the information reported to stakeholders in corporate social responsibility (CSR) reports and companies’ CSR reputation (CSRR). Design/methodology/approach: The paper implements two regression models to test how reporting to stakeholders influences the CSRR of 84 companies included in the Spanish “MercoEmpresas Responsables” reputation index. Findings: The results demonstrate that greater global reporting intensity to stakeholders does not necessarily mean a better CSRR. Contrarily, the reporting-reputation link depends on the intensity of reporting to specific stakeholders such as investors, regulators and the media. The findings are explained largely by the institutional, political and business characteristics of Spain after the Great Recession of 2007-2008. Research limitations/implications: The evidence reported in this paper confirms stakeholder theory as an adequate framework to understand corporate reporting to stakeholders and its relationship with CSRR. The findings suggest that stakeholder salience (i.e. power, legitimacy and urgency) is a key concept for understanding the reporting-reputation link better in future research. Practical implications: In the light of the findings, companies willing to use reporting to stakeholders as a tool to improve CSRR should establish regular mechanisms for monitoring stakeholder power, legitimacy and urgency, provide complete information to investors in their CSR reports and minimize the amount of detail provided to regulators and the media in their CSR reports. Originality/value: There is still little empirical evidence concerning how the information to stakeholders contained in CSR reports influences the processes by which CSRR is built or destroyed. This paper contributes to the previous literature by describing how the global intensity of reporting to stakeholders and the intensity of reporting to different stakeholder groups relate to CSRR.","author":[{"dropping-particle":"","family":"Pérez","given":"Andrea","non-dropping-particle":"","parse-names":false,"suffix":""},{"dropping-particle":"","family":"López","given":"Carlos","non-dropping-particle":"","parse-names":false,"suffix":""},{"dropping-particle":"","family":"García-De los Salmones","given":"María del Mar","non-dropping-particle":"","parse-names":false,"suffix":""}],"container-title":"Accounting, Auditing and Accountability Journal","id":"ITEM-2","issue":"3","issued":{"date-parts":[["2017"]]},"page":"668-698","publisher":"Emerald Group Publishing Ltd.","title":"An empirical exploration of the link between reporting to stakeholders and corporate social responsibility reputation in the Spanish context","type":"article-journal","volume":"30"},"uris":["http://www.mendeley.com/documents/?uuid=068f87cd-7db3-384b-a61f-64e921dfa771"]}],"mendeley":{"formattedCitation":"(Dragu, 2018; Pérez et al., 2017)","plainTextFormattedCitation":"(Dragu, 2018; Pérez et al., 2017)","previouslyFormattedCitation":"(Dragu, 2018; Pérez et al., 2017)"},"properties":{"noteIndex":0},"schema":"https://github.com/citation-style-language/schema/raw/master/csl-citation.json"}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(Dragu, 2018; Pérez et al., </w:t>
      </w:r>
      <w:hyperlink w:anchor="Dragu" w:history="1">
        <w:r w:rsidRPr="00660DF4">
          <w:rPr>
            <w:rStyle w:val="Hyperlink"/>
            <w:rFonts w:ascii="Merriweather Light" w:hAnsi="Merriweather Light" w:cstheme="minorHAnsi"/>
            <w:noProof/>
            <w:sz w:val="20"/>
            <w:szCs w:val="20"/>
          </w:rPr>
          <w:t>2017</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w:t>
      </w:r>
    </w:p>
    <w:p w14:paraId="745E3452" w14:textId="77777777" w:rsidR="004726BE" w:rsidRPr="00A02380" w:rsidRDefault="004726BE" w:rsidP="006B052C">
      <w:pPr>
        <w:spacing w:after="120" w:line="276" w:lineRule="auto"/>
        <w:ind w:firstLine="360"/>
        <w:jc w:val="both"/>
        <w:rPr>
          <w:rFonts w:ascii="Merriweather Light" w:hAnsi="Merriweather Light" w:cstheme="minorHAnsi"/>
          <w:sz w:val="20"/>
          <w:szCs w:val="20"/>
        </w:rPr>
      </w:pPr>
      <w:r w:rsidRPr="00A02380">
        <w:rPr>
          <w:rFonts w:ascii="Merriweather Light" w:hAnsi="Merriweather Light" w:cstheme="minorHAnsi"/>
          <w:sz w:val="20"/>
          <w:szCs w:val="20"/>
        </w:rPr>
        <w:t>The findings of this study are advantageous to online communities that use social media. Because communicative elements were shown to be dependent on social media, this research study contributes to social media forums, which is crucial for them because of the study's findings. Therefore, the results of this investigation will allow these forums to get the important variables.</w:t>
      </w:r>
    </w:p>
    <w:p w14:paraId="5D0A302A" w14:textId="2A18B04C" w:rsidR="004726BE" w:rsidRPr="00A02380" w:rsidRDefault="004726BE" w:rsidP="006B052C">
      <w:pPr>
        <w:spacing w:after="120" w:line="276" w:lineRule="auto"/>
        <w:ind w:firstLine="360"/>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Because they are the ultimate benefactors of the study, corporate financial performance stands to gain from the research. This research study contributes to the existing body of CSR literature by introducing a new theoretical explanation in the form of the stakeholder theory of the enterprise. Both managers and academics will find the study to be quite useful. The information created in light of the results would be helpful to the managers in evaluating themselves concerning the relevance of CSR. It is necessary to have a clear understanding that CSR must be included in any new goods or services introduced by the firm before it is possible to comprehend the meaning of CSR communication aspects </w:t>
      </w:r>
      <w:r w:rsidRPr="00A02380">
        <w:rPr>
          <w:rFonts w:ascii="Merriweather Light" w:hAnsi="Merriweather Light" w:cstheme="minorHAnsi"/>
          <w:sz w:val="20"/>
          <w:szCs w:val="20"/>
        </w:rPr>
        <w:fldChar w:fldCharType="begin" w:fldLock="1"/>
      </w:r>
      <w:r w:rsidRPr="00A02380">
        <w:rPr>
          <w:rFonts w:ascii="Merriweather Light" w:hAnsi="Merriweather Light" w:cstheme="minorHAnsi"/>
          <w:sz w:val="20"/>
          <w:szCs w:val="20"/>
        </w:rPr>
        <w:instrText>ADDIN CSL_CITATION {"citationItems":[{"id":"ITEM-1","itemData":{"DOI":"10.1108/JCOM-02-2017-0020","ISSN":"1363254X","abstract":"Purpose: The purpose of this paper is to compare “how we see ourselves” vs “how others see us” when communicating corporate social responsibility (CSR) activities in US pharmaceutical companies. Design/methodology/approach: Data were collected as follows: CSR reports from the companies themselves and Business Press reports from the Lexis-Nexis database. NVivo content analysis was used to compare CSR communication by companies and the Business Press. This analysis was comprised of almost 10 million words. Comparisons of Carroll’s framework, including the economic, legal, ethical, and philanthropic categories between CSR reports and the Business Press, were done. Additional analysis was done to discern individual, organizational, and societal patterns of communications. Return on assets was computed for companies that have formal CSR reports and those that do not. Findings: The analysis of documents containing almost 10 million words allowed the following conclusions: companies communicate more about their economic and philanthropic activities, and the Business Press communicates more about their legal and ethical activities. The companies and the Business Press communicated similarly about individual CSR. The organization communicated more about organizational topics, and the Business Press communicated less about societal topics. Originality/value: This paper makes both substantive and methodological contributions. Its substantive contribution allows an understanding of what pharmaceutical companies need to do to fully communicate their CSR activities. Its methodological contribution is in suggesting that content analysis be used in understanding communication patterns. A levels of analysis approach allowed the discernment of individual-oriented, organizational, and societal-oriented communication patterns.","author":[{"dropping-particle":"","family":"Cook","given":"Lori","non-dropping-particle":"","parse-names":false,"suffix":""},{"dropping-particle":"","family":"LaVan","given":"Helen","non-dropping-particle":"","parse-names":false,"suffix":""},{"dropping-particle":"","family":"Zilic","given":"Ivana","non-dropping-particle":"","parse-names":false,"suffix":""}],"container-title":"Journal of Communication Management","id":"ITEM-1","issue":"2","issued":{"date-parts":[["2018"]]},"page":"197-211","publisher":"Emerald Group Publishing Ltd.","title":"An exploratory analysis of corporate social responsibility reporting in US pharmaceutical companies","type":"article-journal","volume":"22"},"uris":["http://www.mendeley.com/documents/?uuid=66665034-a5cf-3b50-a485-a1bacbbba31c"]},{"id":"ITEM-2","itemData":{"DOI":"10.1108/IJAIM-03-2019-0041","ISSN":"17589037","abstract":"Purpose: The purpose of this study is twofold: first, to introduce two determinants of environmental, social and governance (ESG) disclosure transparency, namely, audit quality and public media exposure; and second, to investigate the impact of ESG transparency on firm-level investment efficiency. Design/methodology/approach: Ordinary least square (OLS) regressions are applied to explore the relationship between the two variables of interest (audit quality and public media exposure) and ESG transparency on a sample of publicly listed Canadian firms during the period 2008 to 2017. Then, an econometric model is used to investigate the association between ESG transparency and investment efficiency under two identified scenarios, under-investment and over-investment. Findings: Results show that audit quality and public media exposure are two main drivers of ESG transparency, hence, commitment to high-quality audits and exposure to high public media coverage drive firms to disclose more extensive and transparent ESG information. The authors also find a negative association between ESG transparency and firm-level investment inefficiency. Thus, ESG transparency generates influential incremental information that helps mitigate the information asymmetry between firms and stakeholders while fostering better resource allocation through investment efficiency. Originality/value: This study contributes to the corporate social responsibility (CSR) and ESG literature by identifying audit quality and public media exposure as two determinants of ESG transparency; and by noting that higher ESG transparency has a significant economic effect on capital investment decisions through higher firm-level investment efficiency.","author":[{"dropping-particle":"","family":"Hammami","given":"Ahmad","non-dropping-particle":"","parse-names":false,"suffix":""},{"dropping-particle":"","family":"Hendijani Zadeh","given":"Mohammad","non-dropping-particle":"","parse-names":false,"suffix":""}],"container-title":"International Journal of Accounting and Information Management","id":"ITEM-2","issue":"1","issued":{"date-parts":[["2020","2","14"]]},"page":"45-72","publisher":"Emerald Group Holdings Ltd.","title":"Audit quality, media coverage, environmental, social, and governance disclosure and firm investment efficiency: Evidence from Canada","type":"article-journal","volume":"28"},"uris":["http://www.mendeley.com/documents/?uuid=2d73ab03-f5ef-3d8f-ba36-0aefa8768545"]}],"mendeley":{"formattedCitation":"(Cook et al., 2018; Hammami &amp; Hendijani Zadeh, 2020)","plainTextFormattedCitation":"(Cook et al., 2018; Hammami &amp; Hendijani Zadeh, 2020)","previouslyFormattedCitation":"(Cook et al., 2018; Hammami &amp; Hendijani Zadeh, 2020)"},"properties":{"noteIndex":0},"schema":"https://github.com/citation-style-language/schema/raw/master/csl-citation.json"}</w:instrText>
      </w:r>
      <w:r w:rsidRPr="00A02380">
        <w:rPr>
          <w:rFonts w:ascii="Merriweather Light" w:hAnsi="Merriweather Light" w:cstheme="minorHAnsi"/>
          <w:sz w:val="20"/>
          <w:szCs w:val="20"/>
        </w:rPr>
        <w:fldChar w:fldCharType="separate"/>
      </w:r>
      <w:r w:rsidRPr="00A02380">
        <w:rPr>
          <w:rFonts w:ascii="Merriweather Light" w:hAnsi="Merriweather Light" w:cstheme="minorHAnsi"/>
          <w:noProof/>
          <w:sz w:val="20"/>
          <w:szCs w:val="20"/>
        </w:rPr>
        <w:t xml:space="preserve">(Cook et al., 2018; Hammami &amp; Hendijani Zadeh, </w:t>
      </w:r>
      <w:hyperlink w:anchor="Cook" w:history="1">
        <w:r w:rsidRPr="00660DF4">
          <w:rPr>
            <w:rStyle w:val="Hyperlink"/>
            <w:rFonts w:ascii="Merriweather Light" w:hAnsi="Merriweather Light" w:cstheme="minorHAnsi"/>
            <w:noProof/>
            <w:sz w:val="20"/>
            <w:szCs w:val="20"/>
          </w:rPr>
          <w:t>2020</w:t>
        </w:r>
      </w:hyperlink>
      <w:r w:rsidRPr="00A02380">
        <w:rPr>
          <w:rFonts w:ascii="Merriweather Light" w:hAnsi="Merriweather Light" w:cstheme="minorHAnsi"/>
          <w:noProof/>
          <w:sz w:val="20"/>
          <w:szCs w:val="20"/>
        </w:rPr>
        <w:t>)</w:t>
      </w:r>
      <w:r w:rsidRPr="00A02380">
        <w:rPr>
          <w:rFonts w:ascii="Merriweather Light" w:hAnsi="Merriweather Light" w:cstheme="minorHAnsi"/>
          <w:sz w:val="20"/>
          <w:szCs w:val="20"/>
        </w:rPr>
        <w:fldChar w:fldCharType="end"/>
      </w:r>
      <w:r w:rsidRPr="00A02380">
        <w:rPr>
          <w:rFonts w:ascii="Merriweather Light" w:hAnsi="Merriweather Light" w:cstheme="minorHAnsi"/>
          <w:sz w:val="20"/>
          <w:szCs w:val="20"/>
        </w:rPr>
        <w:t>.</w:t>
      </w:r>
    </w:p>
    <w:p w14:paraId="6AE69731" w14:textId="3A235AC9" w:rsidR="004726BE" w:rsidRDefault="004726BE" w:rsidP="006B052C">
      <w:pPr>
        <w:spacing w:line="276" w:lineRule="auto"/>
        <w:ind w:firstLine="360"/>
        <w:jc w:val="both"/>
        <w:rPr>
          <w:rFonts w:ascii="Merriweather Light" w:hAnsi="Merriweather Light" w:cstheme="minorHAnsi"/>
          <w:sz w:val="20"/>
          <w:szCs w:val="20"/>
        </w:rPr>
      </w:pPr>
      <w:r w:rsidRPr="00A02380">
        <w:rPr>
          <w:rFonts w:ascii="Merriweather Light" w:hAnsi="Merriweather Light" w:cstheme="minorHAnsi"/>
          <w:sz w:val="20"/>
          <w:szCs w:val="20"/>
        </w:rPr>
        <w:t>This study will point scholars on the right path to investigate CSR in firms, particularly those in the telecommunications industry. Researchers would also benefit from the study since it would allow them to uncover the elements that contribute to CSR, factors that communicate CSR, and factors that affect business performance. The research would also be useful to those responsible for formulating public policy. This research will light on how CSR may be included in the entire procedure. If the managers of a firm act in a way that is both ethical and responsible, they may earn the trust of both the corporate executives and the investors. There is more to CSR communication than just having good manners, it is essential to the success of the telecoms industry.</w:t>
      </w:r>
    </w:p>
    <w:p w14:paraId="790FE224" w14:textId="77777777" w:rsidR="006B052C" w:rsidRPr="00A02380" w:rsidRDefault="006B052C" w:rsidP="004726BE">
      <w:pPr>
        <w:spacing w:line="276" w:lineRule="auto"/>
        <w:jc w:val="both"/>
        <w:rPr>
          <w:rFonts w:ascii="Merriweather Light" w:hAnsi="Merriweather Light" w:cstheme="minorHAnsi"/>
          <w:sz w:val="20"/>
          <w:szCs w:val="20"/>
        </w:rPr>
      </w:pPr>
    </w:p>
    <w:p w14:paraId="2B432E22" w14:textId="77777777" w:rsidR="004726BE" w:rsidRPr="006B052C" w:rsidRDefault="004726BE" w:rsidP="006B052C">
      <w:pPr>
        <w:pStyle w:val="Heading2"/>
        <w:spacing w:before="0" w:after="60" w:line="276" w:lineRule="auto"/>
        <w:jc w:val="both"/>
        <w:rPr>
          <w:rFonts w:ascii="Merriweather Light" w:hAnsi="Merriweather Light"/>
          <w:b/>
          <w:bCs/>
          <w:color w:val="011893"/>
          <w:sz w:val="22"/>
          <w:szCs w:val="22"/>
        </w:rPr>
      </w:pPr>
      <w:bookmarkStart w:id="37" w:name="_Toc116743649"/>
      <w:r w:rsidRPr="006B052C">
        <w:rPr>
          <w:rFonts w:ascii="Merriweather Light" w:hAnsi="Merriweather Light"/>
          <w:b/>
          <w:bCs/>
          <w:color w:val="011893"/>
          <w:sz w:val="22"/>
          <w:szCs w:val="22"/>
        </w:rPr>
        <w:t>Recommendations</w:t>
      </w:r>
      <w:bookmarkEnd w:id="37"/>
      <w:r w:rsidRPr="006B052C">
        <w:rPr>
          <w:rFonts w:ascii="Merriweather Light" w:hAnsi="Merriweather Light"/>
          <w:b/>
          <w:bCs/>
          <w:color w:val="011893"/>
          <w:sz w:val="22"/>
          <w:szCs w:val="22"/>
        </w:rPr>
        <w:t xml:space="preserve"> </w:t>
      </w:r>
    </w:p>
    <w:p w14:paraId="4B4DA797" w14:textId="77777777" w:rsidR="004726BE" w:rsidRPr="00A02380" w:rsidRDefault="004726BE" w:rsidP="006B052C">
      <w:pPr>
        <w:spacing w:after="120" w:line="276" w:lineRule="auto"/>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The findings of this study recommend online groups that utilize social media. This study adds to online discussion forums, which is significant since it shows that certain communication components depend on these platforms. </w:t>
      </w:r>
    </w:p>
    <w:p w14:paraId="7D233281" w14:textId="77777777" w:rsidR="004726BE" w:rsidRPr="00A02380" w:rsidRDefault="004726BE" w:rsidP="006B052C">
      <w:pPr>
        <w:spacing w:after="120" w:line="276" w:lineRule="auto"/>
        <w:ind w:firstLine="360"/>
        <w:jc w:val="both"/>
        <w:rPr>
          <w:rFonts w:ascii="Merriweather Light" w:hAnsi="Merriweather Light" w:cstheme="minorHAnsi"/>
          <w:sz w:val="20"/>
          <w:szCs w:val="20"/>
        </w:rPr>
      </w:pPr>
      <w:r w:rsidRPr="00A02380">
        <w:rPr>
          <w:rFonts w:ascii="Merriweather Light" w:hAnsi="Merriweather Light" w:cstheme="minorHAnsi"/>
          <w:sz w:val="20"/>
          <w:szCs w:val="20"/>
        </w:rPr>
        <w:t>This study recommends researching CSR in business, particularly in the telecommunications industry. Academics would benefit from the study since it would provide light on the factors that lead to CSR, those that transmit CSR, and those that affect business performance. This investigation may also aid those in charge of creating public policies. This research recommends the viability of incorporating CSR into current organizational procedures. Managers who conduct business honestly and responsibly may get the respect of upper-level executives and financial supporters. If the telecoms industry wants to flourish, CSR communication requires more than just good manners.</w:t>
      </w:r>
    </w:p>
    <w:p w14:paraId="4A557939" w14:textId="4051C5A5" w:rsidR="004726BE" w:rsidRPr="00A02380" w:rsidRDefault="004726BE" w:rsidP="006B052C">
      <w:pPr>
        <w:spacing w:after="120" w:line="276" w:lineRule="auto"/>
        <w:ind w:firstLine="360"/>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The findings of this study imply that institutions should </w:t>
      </w:r>
      <w:r w:rsidR="00B726A4" w:rsidRPr="00A02380">
        <w:rPr>
          <w:rFonts w:ascii="Merriweather Light" w:hAnsi="Merriweather Light" w:cstheme="minorHAnsi"/>
          <w:sz w:val="20"/>
          <w:szCs w:val="20"/>
        </w:rPr>
        <w:t>prioriti</w:t>
      </w:r>
      <w:r w:rsidR="00B726A4">
        <w:rPr>
          <w:rFonts w:ascii="Merriweather Light" w:hAnsi="Merriweather Light" w:cstheme="minorHAnsi"/>
          <w:sz w:val="20"/>
          <w:szCs w:val="20"/>
        </w:rPr>
        <w:t>z</w:t>
      </w:r>
      <w:r w:rsidR="00B726A4" w:rsidRPr="00A02380">
        <w:rPr>
          <w:rFonts w:ascii="Merriweather Light" w:hAnsi="Merriweather Light" w:cstheme="minorHAnsi"/>
          <w:sz w:val="20"/>
          <w:szCs w:val="20"/>
        </w:rPr>
        <w:t xml:space="preserve">e </w:t>
      </w:r>
      <w:r w:rsidRPr="00A02380">
        <w:rPr>
          <w:rFonts w:ascii="Merriweather Light" w:hAnsi="Merriweather Light" w:cstheme="minorHAnsi"/>
          <w:sz w:val="20"/>
          <w:szCs w:val="20"/>
        </w:rPr>
        <w:t xml:space="preserve">the needs of their subordinates while deciding the organization's goal. Such criteria should also be applied to the implementation of systems and policies for leaders since this has the ability to change </w:t>
      </w:r>
      <w:r w:rsidRPr="00A02380">
        <w:rPr>
          <w:rFonts w:ascii="Merriweather Light" w:hAnsi="Merriweather Light" w:cstheme="minorHAnsi"/>
          <w:sz w:val="20"/>
          <w:szCs w:val="20"/>
        </w:rPr>
        <w:lastRenderedPageBreak/>
        <w:t>leaders' perceptions by instilling in them the knowledge or understanding that their subordinates are critical to the organization's success.</w:t>
      </w:r>
    </w:p>
    <w:p w14:paraId="4C184B02" w14:textId="22EAFED6" w:rsidR="004726BE" w:rsidRDefault="004726BE" w:rsidP="006B052C">
      <w:pPr>
        <w:spacing w:line="276" w:lineRule="auto"/>
        <w:ind w:firstLine="360"/>
        <w:jc w:val="both"/>
        <w:rPr>
          <w:rFonts w:ascii="Merriweather Light" w:hAnsi="Merriweather Light" w:cstheme="minorHAnsi"/>
          <w:sz w:val="20"/>
          <w:szCs w:val="20"/>
        </w:rPr>
      </w:pPr>
      <w:r w:rsidRPr="00A02380">
        <w:rPr>
          <w:rFonts w:ascii="Merriweather Light" w:hAnsi="Merriweather Light" w:cstheme="minorHAnsi"/>
          <w:sz w:val="20"/>
          <w:szCs w:val="20"/>
        </w:rPr>
        <w:t xml:space="preserve">The value of </w:t>
      </w:r>
      <w:r w:rsidR="00B726A4">
        <w:rPr>
          <w:rFonts w:ascii="Merriweather Light" w:hAnsi="Merriweather Light" w:cstheme="minorHAnsi"/>
          <w:sz w:val="20"/>
          <w:szCs w:val="20"/>
        </w:rPr>
        <w:t xml:space="preserve">the </w:t>
      </w:r>
      <w:r w:rsidRPr="00A02380">
        <w:rPr>
          <w:rFonts w:ascii="Merriweather Light" w:hAnsi="Merriweather Light" w:cstheme="minorHAnsi"/>
          <w:sz w:val="20"/>
          <w:szCs w:val="20"/>
        </w:rPr>
        <w:t>entire company</w:t>
      </w:r>
      <w:r w:rsidR="00B726A4">
        <w:rPr>
          <w:rFonts w:ascii="Merriweather Light" w:hAnsi="Merriweather Light" w:cstheme="minorHAnsi"/>
          <w:sz w:val="20"/>
          <w:szCs w:val="20"/>
        </w:rPr>
        <w:t>'s</w:t>
      </w:r>
      <w:r w:rsidRPr="00A02380">
        <w:rPr>
          <w:rFonts w:ascii="Merriweather Light" w:hAnsi="Merriweather Light" w:cstheme="minorHAnsi"/>
          <w:sz w:val="20"/>
          <w:szCs w:val="20"/>
        </w:rPr>
        <w:t xml:space="preserve"> financial performance is determined by how social media, corporate social responsibility (CSR) communication components, and overall firm financial success all interact. Neither the characteristics that influenced workers' trust or disdain of their leaders nor those that influenced CSR communication were </w:t>
      </w:r>
      <w:r w:rsidR="00B726A4" w:rsidRPr="00A02380">
        <w:rPr>
          <w:rFonts w:ascii="Merriweather Light" w:hAnsi="Merriweather Light" w:cstheme="minorHAnsi"/>
          <w:sz w:val="20"/>
          <w:szCs w:val="20"/>
        </w:rPr>
        <w:t>recogni</w:t>
      </w:r>
      <w:r w:rsidR="00B726A4">
        <w:rPr>
          <w:rFonts w:ascii="Merriweather Light" w:hAnsi="Merriweather Light" w:cstheme="minorHAnsi"/>
          <w:sz w:val="20"/>
          <w:szCs w:val="20"/>
        </w:rPr>
        <w:t>z</w:t>
      </w:r>
      <w:r w:rsidR="00B726A4" w:rsidRPr="00A02380">
        <w:rPr>
          <w:rFonts w:ascii="Merriweather Light" w:hAnsi="Merriweather Light" w:cstheme="minorHAnsi"/>
          <w:sz w:val="20"/>
          <w:szCs w:val="20"/>
        </w:rPr>
        <w:t xml:space="preserve">ed </w:t>
      </w:r>
      <w:r w:rsidRPr="00A02380">
        <w:rPr>
          <w:rFonts w:ascii="Merriweather Light" w:hAnsi="Merriweather Light" w:cstheme="minorHAnsi"/>
          <w:sz w:val="20"/>
          <w:szCs w:val="20"/>
        </w:rPr>
        <w:t>or stated. This suggests that the results have implications for a better understanding of the CSR communication co</w:t>
      </w:r>
      <w:r w:rsidR="006B052C">
        <w:rPr>
          <w:rFonts w:ascii="Merriweather Light" w:hAnsi="Merriweather Light" w:cstheme="minorHAnsi"/>
          <w:sz w:val="20"/>
          <w:szCs w:val="20"/>
        </w:rPr>
        <w:t xml:space="preserve">mponents based on attributes. </w:t>
      </w:r>
      <w:r w:rsidR="00B726A4">
        <w:rPr>
          <w:rFonts w:ascii="Merriweather Light" w:hAnsi="Merriweather Light" w:cstheme="minorHAnsi"/>
          <w:sz w:val="20"/>
          <w:szCs w:val="20"/>
        </w:rPr>
        <w:t>This is a</w:t>
      </w:r>
      <w:r w:rsidR="00B726A4" w:rsidRPr="00A02380">
        <w:rPr>
          <w:rFonts w:ascii="Merriweather Light" w:hAnsi="Merriweather Light" w:cstheme="minorHAnsi"/>
          <w:sz w:val="20"/>
          <w:szCs w:val="20"/>
        </w:rPr>
        <w:t xml:space="preserve"> </w:t>
      </w:r>
      <w:r w:rsidRPr="00A02380">
        <w:rPr>
          <w:rFonts w:ascii="Merriweather Light" w:hAnsi="Merriweather Light" w:cstheme="minorHAnsi"/>
          <w:sz w:val="20"/>
          <w:szCs w:val="20"/>
        </w:rPr>
        <w:t xml:space="preserve">viewpoint that cannot be attained without influencing on several fronts, contrary to </w:t>
      </w:r>
      <w:r w:rsidR="00B726A4">
        <w:rPr>
          <w:rFonts w:ascii="Merriweather Light" w:hAnsi="Merriweather Light" w:cstheme="minorHAnsi"/>
          <w:sz w:val="20"/>
          <w:szCs w:val="20"/>
        </w:rPr>
        <w:t xml:space="preserve">the </w:t>
      </w:r>
      <w:r w:rsidRPr="00A02380">
        <w:rPr>
          <w:rFonts w:ascii="Merriweather Light" w:hAnsi="Merriweather Light" w:cstheme="minorHAnsi"/>
          <w:sz w:val="20"/>
          <w:szCs w:val="20"/>
        </w:rPr>
        <w:t>popular perception that CSR communication is all about influence. As things are, this necessitates a change in viewpoint.</w:t>
      </w:r>
    </w:p>
    <w:p w14:paraId="43E4E7C4" w14:textId="77777777" w:rsidR="006B052C" w:rsidRPr="00A02380" w:rsidRDefault="006B052C" w:rsidP="004726BE">
      <w:pPr>
        <w:spacing w:line="276" w:lineRule="auto"/>
        <w:jc w:val="both"/>
        <w:rPr>
          <w:rFonts w:ascii="Merriweather Light" w:hAnsi="Merriweather Light" w:cstheme="minorHAnsi"/>
          <w:sz w:val="20"/>
          <w:szCs w:val="20"/>
        </w:rPr>
      </w:pPr>
    </w:p>
    <w:p w14:paraId="5B027A9E" w14:textId="77777777" w:rsidR="004726BE" w:rsidRPr="006B052C" w:rsidRDefault="004726BE" w:rsidP="006B052C">
      <w:pPr>
        <w:pStyle w:val="Heading2"/>
        <w:spacing w:before="0" w:after="60" w:line="276" w:lineRule="auto"/>
        <w:jc w:val="both"/>
        <w:rPr>
          <w:rFonts w:ascii="Merriweather Light" w:hAnsi="Merriweather Light"/>
          <w:b/>
          <w:bCs/>
          <w:color w:val="011893"/>
          <w:sz w:val="22"/>
          <w:szCs w:val="22"/>
        </w:rPr>
      </w:pPr>
      <w:bookmarkStart w:id="38" w:name="_Toc97586003"/>
      <w:bookmarkStart w:id="39" w:name="_Toc106785282"/>
      <w:bookmarkStart w:id="40" w:name="_Toc111545509"/>
      <w:r w:rsidRPr="006B052C">
        <w:rPr>
          <w:rFonts w:ascii="Merriweather Light" w:hAnsi="Merriweather Light"/>
          <w:b/>
          <w:bCs/>
          <w:color w:val="011893"/>
          <w:sz w:val="22"/>
          <w:szCs w:val="22"/>
        </w:rPr>
        <w:t>Limitation of Study</w:t>
      </w:r>
      <w:bookmarkEnd w:id="38"/>
      <w:bookmarkEnd w:id="39"/>
      <w:bookmarkEnd w:id="40"/>
      <w:r w:rsidRPr="006B052C">
        <w:rPr>
          <w:rFonts w:ascii="Merriweather Light" w:hAnsi="Merriweather Light"/>
          <w:b/>
          <w:bCs/>
          <w:color w:val="011893"/>
          <w:sz w:val="22"/>
          <w:szCs w:val="22"/>
        </w:rPr>
        <w:t xml:space="preserve"> </w:t>
      </w:r>
    </w:p>
    <w:p w14:paraId="0926F903" w14:textId="77777777" w:rsidR="004726BE" w:rsidRPr="00A02380" w:rsidRDefault="004726BE" w:rsidP="004726BE">
      <w:pPr>
        <w:pStyle w:val="BodyText"/>
        <w:spacing w:line="276" w:lineRule="auto"/>
        <w:ind w:left="0"/>
        <w:jc w:val="both"/>
        <w:rPr>
          <w:rFonts w:ascii="Merriweather Light" w:hAnsi="Merriweather Light" w:cstheme="minorHAnsi"/>
          <w:sz w:val="20"/>
          <w:szCs w:val="20"/>
        </w:rPr>
      </w:pPr>
      <w:r w:rsidRPr="00A02380">
        <w:rPr>
          <w:rFonts w:ascii="Merriweather Light" w:hAnsi="Merriweather Light" w:cstheme="minorHAnsi"/>
          <w:sz w:val="20"/>
          <w:szCs w:val="20"/>
        </w:rPr>
        <w:t>The study is limited to the telecommunication sector of Pakistan. There are four major companies in the telecom sector of Pakistan, i.e., PTCL/</w:t>
      </w:r>
      <w:proofErr w:type="spellStart"/>
      <w:r w:rsidRPr="00A02380">
        <w:rPr>
          <w:rFonts w:ascii="Merriweather Light" w:hAnsi="Merriweather Light" w:cstheme="minorHAnsi"/>
          <w:sz w:val="20"/>
          <w:szCs w:val="20"/>
        </w:rPr>
        <w:t>Ufone</w:t>
      </w:r>
      <w:proofErr w:type="spellEnd"/>
      <w:r w:rsidRPr="00A02380">
        <w:rPr>
          <w:rFonts w:ascii="Merriweather Light" w:hAnsi="Merriweather Light" w:cstheme="minorHAnsi"/>
          <w:sz w:val="20"/>
          <w:szCs w:val="20"/>
        </w:rPr>
        <w:t xml:space="preserve">, Jazz, Telenor, and </w:t>
      </w:r>
      <w:proofErr w:type="spellStart"/>
      <w:r w:rsidRPr="00A02380">
        <w:rPr>
          <w:rFonts w:ascii="Merriweather Light" w:hAnsi="Merriweather Light" w:cstheme="minorHAnsi"/>
          <w:sz w:val="20"/>
          <w:szCs w:val="20"/>
        </w:rPr>
        <w:t>Zong</w:t>
      </w:r>
      <w:proofErr w:type="spellEnd"/>
      <w:r w:rsidRPr="00A02380">
        <w:rPr>
          <w:rFonts w:ascii="Merriweather Light" w:hAnsi="Merriweather Light" w:cstheme="minorHAnsi"/>
          <w:sz w:val="20"/>
          <w:szCs w:val="20"/>
        </w:rPr>
        <w:t xml:space="preserve">. The study has selected employees who are related to the CSR department. The CSR department was approached through their management's consultation. </w:t>
      </w:r>
    </w:p>
    <w:p w14:paraId="372B9400" w14:textId="665925CF" w:rsidR="004726BE" w:rsidRDefault="004726BE" w:rsidP="004726BE">
      <w:pPr>
        <w:spacing w:line="276" w:lineRule="auto"/>
        <w:jc w:val="both"/>
        <w:rPr>
          <w:rFonts w:ascii="Merriweather Light" w:eastAsiaTheme="majorEastAsia" w:hAnsi="Merriweather Light" w:cstheme="minorHAnsi"/>
          <w:b/>
          <w:bCs/>
          <w:sz w:val="20"/>
          <w:szCs w:val="20"/>
        </w:rPr>
      </w:pPr>
    </w:p>
    <w:p w14:paraId="050C5D87" w14:textId="6AF6B70D" w:rsidR="003E228E" w:rsidRDefault="003E228E" w:rsidP="003E228E">
      <w:pPr>
        <w:pStyle w:val="Heading2"/>
        <w:spacing w:before="0" w:after="60" w:line="276" w:lineRule="auto"/>
        <w:jc w:val="both"/>
        <w:rPr>
          <w:rFonts w:ascii="Merriweather Light" w:hAnsi="Merriweather Light"/>
          <w:b/>
          <w:bCs/>
          <w:color w:val="011893"/>
          <w:sz w:val="22"/>
          <w:szCs w:val="22"/>
        </w:rPr>
      </w:pPr>
      <w:bookmarkStart w:id="41" w:name="_Toc116743650"/>
      <w:r w:rsidRPr="006B052C">
        <w:rPr>
          <w:rFonts w:ascii="Merriweather Light" w:hAnsi="Merriweather Light"/>
          <w:b/>
          <w:bCs/>
          <w:color w:val="011893"/>
          <w:sz w:val="22"/>
          <w:szCs w:val="22"/>
        </w:rPr>
        <w:t>References</w:t>
      </w:r>
      <w:bookmarkEnd w:id="41"/>
    </w:p>
    <w:p w14:paraId="71841D37" w14:textId="77777777" w:rsidR="00BB1535" w:rsidRPr="003E228E" w:rsidRDefault="00BB1535" w:rsidP="003E228E">
      <w:pPr>
        <w:spacing w:after="60" w:line="276" w:lineRule="auto"/>
        <w:ind w:left="360" w:hanging="360"/>
        <w:jc w:val="both"/>
        <w:rPr>
          <w:rFonts w:ascii="Merriweather Light" w:hAnsi="Merriweather Light" w:cstheme="minorHAnsi"/>
          <w:sz w:val="20"/>
          <w:szCs w:val="20"/>
        </w:rPr>
      </w:pPr>
      <w:bookmarkStart w:id="42" w:name="Adi"/>
      <w:proofErr w:type="spellStart"/>
      <w:r w:rsidRPr="003E228E">
        <w:rPr>
          <w:rFonts w:ascii="Merriweather Light" w:hAnsi="Merriweather Light" w:cstheme="minorHAnsi"/>
          <w:sz w:val="20"/>
          <w:szCs w:val="20"/>
        </w:rPr>
        <w:t>Adi</w:t>
      </w:r>
      <w:bookmarkEnd w:id="42"/>
      <w:proofErr w:type="spellEnd"/>
      <w:r w:rsidRPr="003E228E">
        <w:rPr>
          <w:rFonts w:ascii="Merriweather Light" w:hAnsi="Merriweather Light" w:cstheme="minorHAnsi"/>
          <w:sz w:val="20"/>
          <w:szCs w:val="20"/>
        </w:rPr>
        <w:t xml:space="preserve">, A., &amp; </w:t>
      </w:r>
      <w:proofErr w:type="spellStart"/>
      <w:r w:rsidRPr="003E228E">
        <w:rPr>
          <w:rFonts w:ascii="Merriweather Light" w:hAnsi="Merriweather Light" w:cstheme="minorHAnsi"/>
          <w:sz w:val="20"/>
          <w:szCs w:val="20"/>
        </w:rPr>
        <w:t>Grigore</w:t>
      </w:r>
      <w:proofErr w:type="spellEnd"/>
      <w:r w:rsidRPr="003E228E">
        <w:rPr>
          <w:rFonts w:ascii="Merriweather Light" w:hAnsi="Merriweather Light" w:cstheme="minorHAnsi"/>
          <w:sz w:val="20"/>
          <w:szCs w:val="20"/>
        </w:rPr>
        <w:t xml:space="preserve">, G. (2015). Communicating </w:t>
      </w:r>
      <w:proofErr w:type="spellStart"/>
      <w:r w:rsidRPr="003E228E">
        <w:rPr>
          <w:rFonts w:ascii="Merriweather Light" w:hAnsi="Merriweather Light" w:cstheme="minorHAnsi"/>
          <w:sz w:val="20"/>
          <w:szCs w:val="20"/>
        </w:rPr>
        <w:t>csr</w:t>
      </w:r>
      <w:proofErr w:type="spellEnd"/>
      <w:r w:rsidRPr="003E228E">
        <w:rPr>
          <w:rFonts w:ascii="Merriweather Light" w:hAnsi="Merriweather Light" w:cstheme="minorHAnsi"/>
          <w:sz w:val="20"/>
          <w:szCs w:val="20"/>
        </w:rPr>
        <w:t xml:space="preserve"> on social media: The case of </w:t>
      </w:r>
      <w:proofErr w:type="spellStart"/>
      <w:r w:rsidRPr="003E228E">
        <w:rPr>
          <w:rFonts w:ascii="Merriweather Light" w:hAnsi="Merriweather Light" w:cstheme="minorHAnsi"/>
          <w:sz w:val="20"/>
          <w:szCs w:val="20"/>
        </w:rPr>
        <w:t>pfizer’s</w:t>
      </w:r>
      <w:proofErr w:type="spellEnd"/>
      <w:r w:rsidRPr="003E228E">
        <w:rPr>
          <w:rFonts w:ascii="Merriweather Light" w:hAnsi="Merriweather Light" w:cstheme="minorHAnsi"/>
          <w:sz w:val="20"/>
          <w:szCs w:val="20"/>
        </w:rPr>
        <w:t xml:space="preserve"> social media communications in Europe. </w:t>
      </w:r>
      <w:r w:rsidRPr="003E228E">
        <w:rPr>
          <w:rFonts w:ascii="Merriweather Light" w:hAnsi="Merriweather Light" w:cstheme="minorHAnsi"/>
          <w:i/>
          <w:iCs/>
          <w:sz w:val="20"/>
          <w:szCs w:val="20"/>
        </w:rPr>
        <w:t>Developments in Corporate Governance and Responsibility, 7</w:t>
      </w:r>
      <w:r w:rsidRPr="003E228E">
        <w:rPr>
          <w:rFonts w:ascii="Merriweather Light" w:hAnsi="Merriweather Light" w:cstheme="minorHAnsi"/>
          <w:sz w:val="20"/>
          <w:szCs w:val="20"/>
        </w:rPr>
        <w:t xml:space="preserve">, 143–163. </w:t>
      </w:r>
      <w:hyperlink r:id="rId18" w:history="1">
        <w:r w:rsidRPr="003B2AE1">
          <w:rPr>
            <w:rStyle w:val="Hyperlink"/>
            <w:rFonts w:ascii="Merriweather Light" w:hAnsi="Merriweather Light" w:cstheme="minorHAnsi"/>
            <w:sz w:val="20"/>
            <w:szCs w:val="20"/>
          </w:rPr>
          <w:t>https://doi.org/10.1108/S2043-052320150000007009</w:t>
        </w:r>
      </w:hyperlink>
    </w:p>
    <w:p w14:paraId="7461C4DB"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43" w:name="Ajayi"/>
      <w:proofErr w:type="spellStart"/>
      <w:r w:rsidRPr="003E228E">
        <w:rPr>
          <w:rFonts w:ascii="Merriweather Light" w:hAnsi="Merriweather Light" w:cstheme="minorHAnsi"/>
          <w:sz w:val="20"/>
          <w:szCs w:val="20"/>
        </w:rPr>
        <w:t>Ajayi</w:t>
      </w:r>
      <w:bookmarkEnd w:id="43"/>
      <w:proofErr w:type="spellEnd"/>
      <w:r w:rsidRPr="003E228E">
        <w:rPr>
          <w:rFonts w:ascii="Merriweather Light" w:hAnsi="Merriweather Light" w:cstheme="minorHAnsi"/>
          <w:sz w:val="20"/>
          <w:szCs w:val="20"/>
        </w:rPr>
        <w:t xml:space="preserve">, O. A., &amp; </w:t>
      </w:r>
      <w:proofErr w:type="spellStart"/>
      <w:r w:rsidRPr="003E228E">
        <w:rPr>
          <w:rFonts w:ascii="Merriweather Light" w:hAnsi="Merriweather Light" w:cstheme="minorHAnsi"/>
          <w:sz w:val="20"/>
          <w:szCs w:val="20"/>
        </w:rPr>
        <w:t>Mmutle</w:t>
      </w:r>
      <w:proofErr w:type="spellEnd"/>
      <w:r w:rsidRPr="003E228E">
        <w:rPr>
          <w:rFonts w:ascii="Merriweather Light" w:hAnsi="Merriweather Light" w:cstheme="minorHAnsi"/>
          <w:sz w:val="20"/>
          <w:szCs w:val="20"/>
        </w:rPr>
        <w:t xml:space="preserve">, T. (2020). Corporate reputation through strategic communication of corporate social responsibility. </w:t>
      </w:r>
      <w:r w:rsidRPr="003E228E">
        <w:rPr>
          <w:rFonts w:ascii="Merriweather Light" w:hAnsi="Merriweather Light" w:cstheme="minorHAnsi"/>
          <w:i/>
          <w:iCs/>
          <w:sz w:val="20"/>
          <w:szCs w:val="20"/>
        </w:rPr>
        <w:t>Corporate Communications, 26</w:t>
      </w:r>
      <w:r w:rsidRPr="003E228E">
        <w:rPr>
          <w:rFonts w:ascii="Merriweather Light" w:hAnsi="Merriweather Light" w:cstheme="minorHAnsi"/>
          <w:sz w:val="20"/>
          <w:szCs w:val="20"/>
        </w:rPr>
        <w:t xml:space="preserve">(5), 1–15. </w:t>
      </w:r>
      <w:hyperlink r:id="rId19" w:history="1">
        <w:r w:rsidRPr="003B2AE1">
          <w:rPr>
            <w:rStyle w:val="Hyperlink"/>
            <w:rFonts w:ascii="Merriweather Light" w:hAnsi="Merriweather Light" w:cstheme="minorHAnsi"/>
            <w:sz w:val="20"/>
            <w:szCs w:val="20"/>
          </w:rPr>
          <w:t>https://doi.org/10.1108/CCIJ-02-2020-0047</w:t>
        </w:r>
      </w:hyperlink>
    </w:p>
    <w:p w14:paraId="65CA0BC1"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44" w:name="AlSakkaf"/>
      <w:r w:rsidRPr="002633AA">
        <w:rPr>
          <w:rFonts w:ascii="Merriweather Light" w:hAnsi="Merriweather Light" w:cstheme="minorHAnsi"/>
          <w:sz w:val="20"/>
          <w:szCs w:val="20"/>
        </w:rPr>
        <w:t xml:space="preserve">Al </w:t>
      </w:r>
      <w:proofErr w:type="spellStart"/>
      <w:r w:rsidRPr="002633AA">
        <w:rPr>
          <w:rFonts w:ascii="Merriweather Light" w:hAnsi="Merriweather Light" w:cstheme="minorHAnsi"/>
          <w:sz w:val="20"/>
          <w:szCs w:val="20"/>
        </w:rPr>
        <w:t>Sakkaf</w:t>
      </w:r>
      <w:bookmarkEnd w:id="44"/>
      <w:proofErr w:type="spellEnd"/>
      <w:r w:rsidRPr="002633AA">
        <w:rPr>
          <w:rFonts w:ascii="Merriweather Light" w:hAnsi="Merriweather Light" w:cstheme="minorHAnsi"/>
          <w:sz w:val="20"/>
          <w:szCs w:val="20"/>
        </w:rPr>
        <w:t xml:space="preserve">, S. Y., Farouk, S., &amp; Abu </w:t>
      </w:r>
      <w:proofErr w:type="spellStart"/>
      <w:r w:rsidRPr="002633AA">
        <w:rPr>
          <w:rFonts w:ascii="Merriweather Light" w:hAnsi="Merriweather Light" w:cstheme="minorHAnsi"/>
          <w:sz w:val="20"/>
          <w:szCs w:val="20"/>
        </w:rPr>
        <w:t>Elanain</w:t>
      </w:r>
      <w:proofErr w:type="spellEnd"/>
      <w:r w:rsidRPr="002633AA">
        <w:rPr>
          <w:rFonts w:ascii="Merriweather Light" w:hAnsi="Merriweather Light" w:cstheme="minorHAnsi"/>
          <w:sz w:val="20"/>
          <w:szCs w:val="20"/>
        </w:rPr>
        <w:t xml:space="preserve">, H. M. (2022). Corporate social responsibility </w:t>
      </w:r>
      <w:r w:rsidRPr="002633AA">
        <w:rPr>
          <w:rFonts w:ascii="Merriweather Light" w:hAnsi="Merriweather Light" w:cstheme="minorHAnsi"/>
          <w:sz w:val="20"/>
          <w:szCs w:val="20"/>
        </w:rPr>
        <w:t xml:space="preserve">towards education and corporation performance in the UAE: the mediating role of corporation reputation. </w:t>
      </w:r>
      <w:r w:rsidRPr="002633AA">
        <w:rPr>
          <w:rFonts w:ascii="Merriweather Light" w:hAnsi="Merriweather Light" w:cstheme="minorHAnsi"/>
          <w:i/>
          <w:iCs/>
          <w:sz w:val="20"/>
          <w:szCs w:val="20"/>
        </w:rPr>
        <w:t>Social Responsibility Journal</w:t>
      </w:r>
      <w:r w:rsidRPr="002633AA">
        <w:rPr>
          <w:rFonts w:ascii="Merriweather Light" w:hAnsi="Merriweather Light" w:cstheme="minorHAnsi"/>
          <w:sz w:val="20"/>
          <w:szCs w:val="20"/>
        </w:rPr>
        <w:t xml:space="preserve">. </w:t>
      </w:r>
      <w:hyperlink r:id="rId20" w:history="1">
        <w:r w:rsidRPr="003B2AE1">
          <w:rPr>
            <w:rStyle w:val="Hyperlink"/>
            <w:rFonts w:ascii="Merriweather Light" w:hAnsi="Merriweather Light" w:cstheme="minorHAnsi"/>
            <w:sz w:val="20"/>
            <w:szCs w:val="20"/>
          </w:rPr>
          <w:t>https://doi.org/10.1108/srj-06-2021-0256</w:t>
        </w:r>
      </w:hyperlink>
    </w:p>
    <w:p w14:paraId="1331D13E"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45" w:name="Allen"/>
      <w:r w:rsidRPr="003E228E">
        <w:rPr>
          <w:rFonts w:ascii="Merriweather Light" w:hAnsi="Merriweather Light" w:cstheme="minorHAnsi"/>
          <w:sz w:val="20"/>
          <w:szCs w:val="20"/>
        </w:rPr>
        <w:t>Allen</w:t>
      </w:r>
      <w:bookmarkEnd w:id="45"/>
      <w:r w:rsidRPr="003E228E">
        <w:rPr>
          <w:rFonts w:ascii="Merriweather Light" w:hAnsi="Merriweather Light" w:cstheme="minorHAnsi"/>
          <w:sz w:val="20"/>
          <w:szCs w:val="20"/>
        </w:rPr>
        <w:t xml:space="preserve">, A. M., Green, T., Brady, M. K., &amp; </w:t>
      </w:r>
      <w:proofErr w:type="spellStart"/>
      <w:r w:rsidRPr="003E228E">
        <w:rPr>
          <w:rFonts w:ascii="Merriweather Light" w:hAnsi="Merriweather Light" w:cstheme="minorHAnsi"/>
          <w:sz w:val="20"/>
          <w:szCs w:val="20"/>
        </w:rPr>
        <w:t>Peloza</w:t>
      </w:r>
      <w:proofErr w:type="spellEnd"/>
      <w:r w:rsidRPr="003E228E">
        <w:rPr>
          <w:rFonts w:ascii="Merriweather Light" w:hAnsi="Merriweather Light" w:cstheme="minorHAnsi"/>
          <w:sz w:val="20"/>
          <w:szCs w:val="20"/>
        </w:rPr>
        <w:t xml:space="preserve">, J. (2020). Can corporate social responsibility deter consumer dysfunctional behavior? </w:t>
      </w:r>
      <w:r w:rsidRPr="002633AA">
        <w:rPr>
          <w:rFonts w:ascii="Merriweather Light" w:hAnsi="Merriweather Light" w:cstheme="minorHAnsi"/>
          <w:i/>
          <w:iCs/>
          <w:sz w:val="20"/>
          <w:szCs w:val="20"/>
        </w:rPr>
        <w:t>Journal of Consumer Marketing, 37</w:t>
      </w:r>
      <w:r w:rsidRPr="003E228E">
        <w:rPr>
          <w:rFonts w:ascii="Merriweather Light" w:hAnsi="Merriweather Light" w:cstheme="minorHAnsi"/>
          <w:sz w:val="20"/>
          <w:szCs w:val="20"/>
        </w:rPr>
        <w:t xml:space="preserve">(7), 729–738. </w:t>
      </w:r>
      <w:hyperlink r:id="rId21" w:history="1">
        <w:r w:rsidRPr="003B2AE1">
          <w:rPr>
            <w:rStyle w:val="Hyperlink"/>
            <w:rFonts w:ascii="Merriweather Light" w:hAnsi="Merriweather Light" w:cstheme="minorHAnsi"/>
            <w:sz w:val="20"/>
            <w:szCs w:val="20"/>
          </w:rPr>
          <w:t>https://doi.org/10.1108/JCM-11-2019-3503</w:t>
        </w:r>
      </w:hyperlink>
    </w:p>
    <w:p w14:paraId="7935011A"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46" w:name="AlShammari"/>
      <w:r w:rsidRPr="003E228E">
        <w:rPr>
          <w:rFonts w:ascii="Merriweather Light" w:hAnsi="Merriweather Light" w:cstheme="minorHAnsi"/>
          <w:sz w:val="20"/>
          <w:szCs w:val="20"/>
        </w:rPr>
        <w:t>Al-</w:t>
      </w:r>
      <w:proofErr w:type="spellStart"/>
      <w:r w:rsidRPr="003E228E">
        <w:rPr>
          <w:rFonts w:ascii="Merriweather Light" w:hAnsi="Merriweather Light" w:cstheme="minorHAnsi"/>
          <w:sz w:val="20"/>
          <w:szCs w:val="20"/>
        </w:rPr>
        <w:t>Shammari</w:t>
      </w:r>
      <w:bookmarkEnd w:id="46"/>
      <w:proofErr w:type="spellEnd"/>
      <w:r w:rsidRPr="003E228E">
        <w:rPr>
          <w:rFonts w:ascii="Merriweather Light" w:hAnsi="Merriweather Light" w:cstheme="minorHAnsi"/>
          <w:sz w:val="20"/>
          <w:szCs w:val="20"/>
        </w:rPr>
        <w:t>, M. A., Al-</w:t>
      </w:r>
      <w:proofErr w:type="spellStart"/>
      <w:r w:rsidRPr="003E228E">
        <w:rPr>
          <w:rFonts w:ascii="Merriweather Light" w:hAnsi="Merriweather Light" w:cstheme="minorHAnsi"/>
          <w:sz w:val="20"/>
          <w:szCs w:val="20"/>
        </w:rPr>
        <w:t>Shammari</w:t>
      </w:r>
      <w:proofErr w:type="spellEnd"/>
      <w:r w:rsidRPr="003E228E">
        <w:rPr>
          <w:rFonts w:ascii="Merriweather Light" w:hAnsi="Merriweather Light" w:cstheme="minorHAnsi"/>
          <w:sz w:val="20"/>
          <w:szCs w:val="20"/>
        </w:rPr>
        <w:t xml:space="preserve">, H., &amp; Banerjee, S. N. (2022). CSR discrepancies, firm visibility and performance: a mediated moderation analysis. </w:t>
      </w:r>
      <w:r w:rsidRPr="003E228E">
        <w:rPr>
          <w:rFonts w:ascii="Merriweather Light" w:hAnsi="Merriweather Light" w:cstheme="minorHAnsi"/>
          <w:i/>
          <w:iCs/>
          <w:sz w:val="20"/>
          <w:szCs w:val="20"/>
        </w:rPr>
        <w:t>Management Decision, 60</w:t>
      </w:r>
      <w:r w:rsidRPr="003E228E">
        <w:rPr>
          <w:rFonts w:ascii="Merriweather Light" w:hAnsi="Merriweather Light" w:cstheme="minorHAnsi"/>
          <w:sz w:val="20"/>
          <w:szCs w:val="20"/>
        </w:rPr>
        <w:t xml:space="preserve">(6), 1560–1584. </w:t>
      </w:r>
      <w:hyperlink r:id="rId22" w:history="1">
        <w:r w:rsidRPr="003B2AE1">
          <w:rPr>
            <w:rStyle w:val="Hyperlink"/>
            <w:rFonts w:ascii="Merriweather Light" w:hAnsi="Merriweather Light" w:cstheme="minorHAnsi"/>
            <w:sz w:val="20"/>
            <w:szCs w:val="20"/>
          </w:rPr>
          <w:t>https://doi.org/10.1108/MD-01-2021-0024</w:t>
        </w:r>
      </w:hyperlink>
    </w:p>
    <w:p w14:paraId="01782A86" w14:textId="77777777" w:rsidR="00BB1535" w:rsidRDefault="00BB1535" w:rsidP="003E228E">
      <w:pPr>
        <w:spacing w:after="60" w:line="276" w:lineRule="auto"/>
        <w:ind w:left="360" w:hanging="360"/>
        <w:jc w:val="both"/>
        <w:rPr>
          <w:rFonts w:ascii="Merriweather Light" w:hAnsi="Merriweather Light" w:cstheme="minorHAnsi"/>
          <w:sz w:val="20"/>
          <w:szCs w:val="20"/>
        </w:rPr>
      </w:pPr>
      <w:r w:rsidRPr="003E228E">
        <w:rPr>
          <w:rFonts w:ascii="Merriweather Light" w:hAnsi="Merriweather Light" w:cstheme="minorHAnsi"/>
          <w:sz w:val="20"/>
          <w:szCs w:val="20"/>
        </w:rPr>
        <w:t>Al-</w:t>
      </w:r>
      <w:proofErr w:type="spellStart"/>
      <w:r w:rsidRPr="003E228E">
        <w:rPr>
          <w:rFonts w:ascii="Merriweather Light" w:hAnsi="Merriweather Light" w:cstheme="minorHAnsi"/>
          <w:sz w:val="20"/>
          <w:szCs w:val="20"/>
        </w:rPr>
        <w:t>Shammari</w:t>
      </w:r>
      <w:proofErr w:type="spellEnd"/>
      <w:r w:rsidRPr="003E228E">
        <w:rPr>
          <w:rFonts w:ascii="Merriweather Light" w:hAnsi="Merriweather Light" w:cstheme="minorHAnsi"/>
          <w:sz w:val="20"/>
          <w:szCs w:val="20"/>
        </w:rPr>
        <w:t xml:space="preserve">, M. A., Banerjee, S. N., &amp; Rasheed, A. A. (2022). Corporate social responsibility and firm performance: a theory of dual responsibility. </w:t>
      </w:r>
      <w:r w:rsidRPr="003E228E">
        <w:rPr>
          <w:rFonts w:ascii="Merriweather Light" w:hAnsi="Merriweather Light" w:cstheme="minorHAnsi"/>
          <w:i/>
          <w:iCs/>
          <w:sz w:val="20"/>
          <w:szCs w:val="20"/>
        </w:rPr>
        <w:t>Management Decision, 60</w:t>
      </w:r>
      <w:r w:rsidRPr="003E228E">
        <w:rPr>
          <w:rFonts w:ascii="Merriweather Light" w:hAnsi="Merriweather Light" w:cstheme="minorHAnsi"/>
          <w:sz w:val="20"/>
          <w:szCs w:val="20"/>
        </w:rPr>
        <w:t xml:space="preserve">(6), 1513–1540. </w:t>
      </w:r>
      <w:hyperlink r:id="rId23" w:history="1">
        <w:r w:rsidRPr="003B2AE1">
          <w:rPr>
            <w:rStyle w:val="Hyperlink"/>
            <w:rFonts w:ascii="Merriweather Light" w:hAnsi="Merriweather Light" w:cstheme="minorHAnsi"/>
            <w:sz w:val="20"/>
            <w:szCs w:val="20"/>
          </w:rPr>
          <w:t>https://doi.org/10.1108/MD-12-2020-1584</w:t>
        </w:r>
      </w:hyperlink>
    </w:p>
    <w:p w14:paraId="7A0415B1"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47" w:name="Amodu"/>
      <w:proofErr w:type="spellStart"/>
      <w:r w:rsidRPr="003E228E">
        <w:rPr>
          <w:rFonts w:ascii="Merriweather Light" w:hAnsi="Merriweather Light" w:cstheme="minorHAnsi"/>
          <w:sz w:val="20"/>
          <w:szCs w:val="20"/>
        </w:rPr>
        <w:t>Amodu</w:t>
      </w:r>
      <w:bookmarkEnd w:id="47"/>
      <w:proofErr w:type="spellEnd"/>
      <w:r w:rsidRPr="003E228E">
        <w:rPr>
          <w:rFonts w:ascii="Merriweather Light" w:hAnsi="Merriweather Light" w:cstheme="minorHAnsi"/>
          <w:sz w:val="20"/>
          <w:szCs w:val="20"/>
        </w:rPr>
        <w:t xml:space="preserve">, N. (2018). Corporate social responsibility as catalyst for development: Prospects and challenges in Nigeria. </w:t>
      </w:r>
      <w:r w:rsidRPr="002633AA">
        <w:rPr>
          <w:rFonts w:ascii="Merriweather Light" w:hAnsi="Merriweather Light" w:cstheme="minorHAnsi"/>
          <w:i/>
          <w:iCs/>
          <w:sz w:val="20"/>
          <w:szCs w:val="20"/>
        </w:rPr>
        <w:t>Developments in Corporate Governance and Responsibility, 24</w:t>
      </w:r>
      <w:r w:rsidRPr="003E228E">
        <w:rPr>
          <w:rFonts w:ascii="Merriweather Light" w:hAnsi="Merriweather Light" w:cstheme="minorHAnsi"/>
          <w:sz w:val="20"/>
          <w:szCs w:val="20"/>
        </w:rPr>
        <w:t xml:space="preserve">, 207–228. </w:t>
      </w:r>
      <w:hyperlink r:id="rId24" w:history="1">
        <w:r w:rsidRPr="003B2AE1">
          <w:rPr>
            <w:rStyle w:val="Hyperlink"/>
            <w:rFonts w:ascii="Merriweather Light" w:hAnsi="Merriweather Light" w:cstheme="minorHAnsi"/>
            <w:sz w:val="20"/>
            <w:szCs w:val="20"/>
          </w:rPr>
          <w:t>https://doi.org/10.1108/S2043-052320180000014010</w:t>
        </w:r>
      </w:hyperlink>
    </w:p>
    <w:p w14:paraId="09C11E4B"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48" w:name="Boswijk"/>
      <w:proofErr w:type="spellStart"/>
      <w:r w:rsidRPr="003E228E">
        <w:rPr>
          <w:rFonts w:ascii="Merriweather Light" w:hAnsi="Merriweather Light" w:cstheme="minorHAnsi"/>
          <w:sz w:val="20"/>
          <w:szCs w:val="20"/>
        </w:rPr>
        <w:t>Boswijk</w:t>
      </w:r>
      <w:bookmarkEnd w:id="48"/>
      <w:proofErr w:type="spellEnd"/>
      <w:r w:rsidRPr="003E228E">
        <w:rPr>
          <w:rFonts w:ascii="Merriweather Light" w:hAnsi="Merriweather Light" w:cstheme="minorHAnsi"/>
          <w:sz w:val="20"/>
          <w:szCs w:val="20"/>
        </w:rPr>
        <w:t xml:space="preserve">, H. P. (1996). Testing </w:t>
      </w:r>
      <w:proofErr w:type="spellStart"/>
      <w:r w:rsidRPr="003E228E">
        <w:rPr>
          <w:rFonts w:ascii="Merriweather Light" w:hAnsi="Merriweather Light" w:cstheme="minorHAnsi"/>
          <w:sz w:val="20"/>
          <w:szCs w:val="20"/>
        </w:rPr>
        <w:t>identifiability</w:t>
      </w:r>
      <w:proofErr w:type="spellEnd"/>
      <w:r w:rsidRPr="003E228E">
        <w:rPr>
          <w:rFonts w:ascii="Merriweather Light" w:hAnsi="Merriweather Light" w:cstheme="minorHAnsi"/>
          <w:sz w:val="20"/>
          <w:szCs w:val="20"/>
        </w:rPr>
        <w:t xml:space="preserve"> of </w:t>
      </w:r>
      <w:proofErr w:type="spellStart"/>
      <w:r w:rsidRPr="003E228E">
        <w:rPr>
          <w:rFonts w:ascii="Merriweather Light" w:hAnsi="Merriweather Light" w:cstheme="minorHAnsi"/>
          <w:sz w:val="20"/>
          <w:szCs w:val="20"/>
        </w:rPr>
        <w:t>cointegrating</w:t>
      </w:r>
      <w:proofErr w:type="spellEnd"/>
      <w:r w:rsidRPr="003E228E">
        <w:rPr>
          <w:rFonts w:ascii="Merriweather Light" w:hAnsi="Merriweather Light" w:cstheme="minorHAnsi"/>
          <w:sz w:val="20"/>
          <w:szCs w:val="20"/>
        </w:rPr>
        <w:t xml:space="preserve"> vectors. </w:t>
      </w:r>
      <w:r w:rsidRPr="002633AA">
        <w:rPr>
          <w:rFonts w:ascii="Merriweather Light" w:hAnsi="Merriweather Light" w:cstheme="minorHAnsi"/>
          <w:i/>
          <w:iCs/>
          <w:sz w:val="20"/>
          <w:szCs w:val="20"/>
        </w:rPr>
        <w:t>Journal of Business and Economic Statistics, 14</w:t>
      </w:r>
      <w:r w:rsidRPr="003E228E">
        <w:rPr>
          <w:rFonts w:ascii="Merriweather Light" w:hAnsi="Merriweather Light" w:cstheme="minorHAnsi"/>
          <w:sz w:val="20"/>
          <w:szCs w:val="20"/>
        </w:rPr>
        <w:t xml:space="preserve">(2), 153–160. </w:t>
      </w:r>
      <w:hyperlink r:id="rId25" w:history="1">
        <w:r w:rsidRPr="003B2AE1">
          <w:rPr>
            <w:rStyle w:val="Hyperlink"/>
            <w:rFonts w:ascii="Merriweather Light" w:hAnsi="Merriweather Light" w:cstheme="minorHAnsi"/>
            <w:sz w:val="20"/>
            <w:szCs w:val="20"/>
          </w:rPr>
          <w:t>https://doi.org/10.1080/07350015.1996.10524641</w:t>
        </w:r>
      </w:hyperlink>
    </w:p>
    <w:p w14:paraId="50B3CCFB"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49" w:name="Camilleri"/>
      <w:proofErr w:type="spellStart"/>
      <w:r w:rsidRPr="003E228E">
        <w:rPr>
          <w:rFonts w:ascii="Merriweather Light" w:hAnsi="Merriweather Light" w:cstheme="minorHAnsi"/>
          <w:sz w:val="20"/>
          <w:szCs w:val="20"/>
        </w:rPr>
        <w:t>Camilleri</w:t>
      </w:r>
      <w:bookmarkEnd w:id="49"/>
      <w:proofErr w:type="spellEnd"/>
      <w:r w:rsidRPr="003E228E">
        <w:rPr>
          <w:rFonts w:ascii="Merriweather Light" w:hAnsi="Merriweather Light" w:cstheme="minorHAnsi"/>
          <w:sz w:val="20"/>
          <w:szCs w:val="20"/>
        </w:rPr>
        <w:t xml:space="preserve">, M. A. (2016). Corporate sustainability and responsibility toward education. </w:t>
      </w:r>
      <w:r w:rsidRPr="002633AA">
        <w:rPr>
          <w:rFonts w:ascii="Merriweather Light" w:hAnsi="Merriweather Light" w:cstheme="minorHAnsi"/>
          <w:i/>
          <w:iCs/>
          <w:sz w:val="20"/>
          <w:szCs w:val="20"/>
        </w:rPr>
        <w:t>Journal of Global Responsibility, 7</w:t>
      </w:r>
      <w:r w:rsidRPr="003E228E">
        <w:rPr>
          <w:rFonts w:ascii="Merriweather Light" w:hAnsi="Merriweather Light" w:cstheme="minorHAnsi"/>
          <w:sz w:val="20"/>
          <w:szCs w:val="20"/>
        </w:rPr>
        <w:t xml:space="preserve">(1), 56–71. </w:t>
      </w:r>
      <w:hyperlink r:id="rId26" w:history="1">
        <w:r w:rsidRPr="003B2AE1">
          <w:rPr>
            <w:rStyle w:val="Hyperlink"/>
            <w:rFonts w:ascii="Merriweather Light" w:hAnsi="Merriweather Light" w:cstheme="minorHAnsi"/>
            <w:sz w:val="20"/>
            <w:szCs w:val="20"/>
          </w:rPr>
          <w:t>https://doi.org/10.1108/JGR-08-2015-0015</w:t>
        </w:r>
      </w:hyperlink>
    </w:p>
    <w:p w14:paraId="1CCB99B2"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50" w:name="Carroll"/>
      <w:r w:rsidRPr="00AF0578">
        <w:rPr>
          <w:rFonts w:ascii="Merriweather Light" w:hAnsi="Merriweather Light" w:cstheme="minorHAnsi"/>
          <w:sz w:val="20"/>
          <w:szCs w:val="20"/>
        </w:rPr>
        <w:t>Carroll</w:t>
      </w:r>
      <w:bookmarkEnd w:id="50"/>
      <w:r w:rsidRPr="00AF0578">
        <w:rPr>
          <w:rFonts w:ascii="Merriweather Light" w:hAnsi="Merriweather Light" w:cstheme="minorHAnsi"/>
          <w:sz w:val="20"/>
          <w:szCs w:val="20"/>
        </w:rPr>
        <w:t xml:space="preserve">, A. B., &amp; Brown, J. A. (2018). </w:t>
      </w:r>
      <w:r w:rsidRPr="00AF0578">
        <w:rPr>
          <w:rFonts w:ascii="Merriweather Light" w:hAnsi="Merriweather Light" w:cstheme="minorHAnsi"/>
          <w:i/>
          <w:iCs/>
          <w:sz w:val="20"/>
          <w:szCs w:val="20"/>
        </w:rPr>
        <w:t>Corporate Social Responsibility: A Review of Current Concepts, Research, and Issues.</w:t>
      </w:r>
      <w:r w:rsidRPr="00AF0578">
        <w:rPr>
          <w:rFonts w:ascii="Merriweather Light" w:hAnsi="Merriweather Light" w:cstheme="minorHAnsi"/>
          <w:sz w:val="20"/>
          <w:szCs w:val="20"/>
        </w:rPr>
        <w:t xml:space="preserve"> 39–69.</w:t>
      </w:r>
    </w:p>
    <w:p w14:paraId="49D3F357"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51" w:name="Cook"/>
      <w:r w:rsidRPr="003E228E">
        <w:rPr>
          <w:rFonts w:ascii="Merriweather Light" w:hAnsi="Merriweather Light" w:cstheme="minorHAnsi"/>
          <w:sz w:val="20"/>
          <w:szCs w:val="20"/>
        </w:rPr>
        <w:t>Cook</w:t>
      </w:r>
      <w:bookmarkEnd w:id="51"/>
      <w:r w:rsidRPr="003E228E">
        <w:rPr>
          <w:rFonts w:ascii="Merriweather Light" w:hAnsi="Merriweather Light" w:cstheme="minorHAnsi"/>
          <w:sz w:val="20"/>
          <w:szCs w:val="20"/>
        </w:rPr>
        <w:t xml:space="preserve">, L., </w:t>
      </w:r>
      <w:proofErr w:type="spellStart"/>
      <w:r w:rsidRPr="003E228E">
        <w:rPr>
          <w:rFonts w:ascii="Merriweather Light" w:hAnsi="Merriweather Light" w:cstheme="minorHAnsi"/>
          <w:sz w:val="20"/>
          <w:szCs w:val="20"/>
        </w:rPr>
        <w:t>LaVan</w:t>
      </w:r>
      <w:proofErr w:type="spellEnd"/>
      <w:r w:rsidRPr="003E228E">
        <w:rPr>
          <w:rFonts w:ascii="Merriweather Light" w:hAnsi="Merriweather Light" w:cstheme="minorHAnsi"/>
          <w:sz w:val="20"/>
          <w:szCs w:val="20"/>
        </w:rPr>
        <w:t xml:space="preserve">, H., &amp; </w:t>
      </w:r>
      <w:proofErr w:type="spellStart"/>
      <w:r w:rsidRPr="003E228E">
        <w:rPr>
          <w:rFonts w:ascii="Merriweather Light" w:hAnsi="Merriweather Light" w:cstheme="minorHAnsi"/>
          <w:sz w:val="20"/>
          <w:szCs w:val="20"/>
        </w:rPr>
        <w:t>Zilic</w:t>
      </w:r>
      <w:proofErr w:type="spellEnd"/>
      <w:r w:rsidRPr="003E228E">
        <w:rPr>
          <w:rFonts w:ascii="Merriweather Light" w:hAnsi="Merriweather Light" w:cstheme="minorHAnsi"/>
          <w:sz w:val="20"/>
          <w:szCs w:val="20"/>
        </w:rPr>
        <w:t xml:space="preserve">, I. (2018). An exploratory analysis of corporate social responsibility reporting in US pharmaceutical </w:t>
      </w:r>
      <w:r w:rsidRPr="003E228E">
        <w:rPr>
          <w:rFonts w:ascii="Merriweather Light" w:hAnsi="Merriweather Light" w:cstheme="minorHAnsi"/>
          <w:sz w:val="20"/>
          <w:szCs w:val="20"/>
        </w:rPr>
        <w:lastRenderedPageBreak/>
        <w:t xml:space="preserve">companies. </w:t>
      </w:r>
      <w:r w:rsidRPr="00962861">
        <w:rPr>
          <w:rFonts w:ascii="Merriweather Light" w:hAnsi="Merriweather Light" w:cstheme="minorHAnsi"/>
          <w:i/>
          <w:iCs/>
          <w:sz w:val="20"/>
          <w:szCs w:val="20"/>
        </w:rPr>
        <w:t>Journal of Communication Management, 22</w:t>
      </w:r>
      <w:r w:rsidRPr="003E228E">
        <w:rPr>
          <w:rFonts w:ascii="Merriweather Light" w:hAnsi="Merriweather Light" w:cstheme="minorHAnsi"/>
          <w:sz w:val="20"/>
          <w:szCs w:val="20"/>
        </w:rPr>
        <w:t xml:space="preserve">(2), 197–211. </w:t>
      </w:r>
      <w:hyperlink r:id="rId27" w:history="1">
        <w:r w:rsidRPr="003B2AE1">
          <w:rPr>
            <w:rStyle w:val="Hyperlink"/>
            <w:rFonts w:ascii="Merriweather Light" w:hAnsi="Merriweather Light" w:cstheme="minorHAnsi"/>
            <w:sz w:val="20"/>
            <w:szCs w:val="20"/>
          </w:rPr>
          <w:t>https://doi.org/10.1108/JCOM-02-2017-0020</w:t>
        </w:r>
      </w:hyperlink>
    </w:p>
    <w:p w14:paraId="632B3ADA" w14:textId="77777777" w:rsidR="00BB1535" w:rsidRDefault="00BB1535" w:rsidP="009F4EE0">
      <w:pPr>
        <w:spacing w:after="60" w:line="276" w:lineRule="auto"/>
        <w:ind w:left="360" w:hanging="360"/>
        <w:jc w:val="both"/>
        <w:rPr>
          <w:rFonts w:ascii="Merriweather Light" w:hAnsi="Merriweather Light" w:cstheme="minorHAnsi"/>
          <w:sz w:val="20"/>
          <w:szCs w:val="20"/>
        </w:rPr>
      </w:pPr>
      <w:bookmarkStart w:id="52" w:name="Dhandhania"/>
      <w:proofErr w:type="spellStart"/>
      <w:r w:rsidRPr="009F4EE0">
        <w:rPr>
          <w:rFonts w:ascii="Merriweather Light" w:hAnsi="Merriweather Light" w:cstheme="minorHAnsi"/>
          <w:sz w:val="20"/>
          <w:szCs w:val="20"/>
        </w:rPr>
        <w:t>Dhandhania</w:t>
      </w:r>
      <w:bookmarkEnd w:id="52"/>
      <w:proofErr w:type="spellEnd"/>
      <w:r w:rsidRPr="009F4EE0">
        <w:rPr>
          <w:rFonts w:ascii="Merriweather Light" w:hAnsi="Merriweather Light" w:cstheme="minorHAnsi"/>
          <w:sz w:val="20"/>
          <w:szCs w:val="20"/>
        </w:rPr>
        <w:t xml:space="preserve">, A., &amp; O’Higgins, E. (2021). Can “sin industries” prove their legitimacy through CSR reporting? A study of UK tobacco and gambling companies. </w:t>
      </w:r>
      <w:r w:rsidRPr="009F4EE0">
        <w:rPr>
          <w:rFonts w:ascii="Merriweather Light" w:hAnsi="Merriweather Light" w:cstheme="minorHAnsi"/>
          <w:i/>
          <w:iCs/>
          <w:sz w:val="20"/>
          <w:szCs w:val="20"/>
        </w:rPr>
        <w:t>Accounting, Auditing &amp; Accountability Journal, 35</w:t>
      </w:r>
      <w:r w:rsidRPr="009F4EE0">
        <w:rPr>
          <w:rFonts w:ascii="Merriweather Light" w:hAnsi="Merriweather Light" w:cstheme="minorHAnsi"/>
          <w:sz w:val="20"/>
          <w:szCs w:val="20"/>
        </w:rPr>
        <w:t xml:space="preserve">(4), 1009–1034. </w:t>
      </w:r>
      <w:hyperlink r:id="rId28" w:history="1">
        <w:r w:rsidRPr="003B2AE1">
          <w:rPr>
            <w:rStyle w:val="Hyperlink"/>
            <w:rFonts w:ascii="Merriweather Light" w:hAnsi="Merriweather Light" w:cstheme="minorHAnsi"/>
            <w:sz w:val="20"/>
            <w:szCs w:val="20"/>
          </w:rPr>
          <w:t>https://doi.org/10.1108/aaaj-11-2019-4239</w:t>
        </w:r>
      </w:hyperlink>
    </w:p>
    <w:p w14:paraId="0C7DACC4"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53" w:name="DiSegni"/>
      <w:proofErr w:type="spellStart"/>
      <w:r w:rsidRPr="003E228E">
        <w:rPr>
          <w:rFonts w:ascii="Merriweather Light" w:hAnsi="Merriweather Light" w:cstheme="minorHAnsi"/>
          <w:sz w:val="20"/>
          <w:szCs w:val="20"/>
        </w:rPr>
        <w:t>DiSegni</w:t>
      </w:r>
      <w:bookmarkEnd w:id="53"/>
      <w:proofErr w:type="spellEnd"/>
      <w:r w:rsidRPr="003E228E">
        <w:rPr>
          <w:rFonts w:ascii="Merriweather Light" w:hAnsi="Merriweather Light" w:cstheme="minorHAnsi"/>
          <w:sz w:val="20"/>
          <w:szCs w:val="20"/>
        </w:rPr>
        <w:t xml:space="preserve">, D. M., </w:t>
      </w:r>
      <w:proofErr w:type="spellStart"/>
      <w:r w:rsidRPr="003E228E">
        <w:rPr>
          <w:rFonts w:ascii="Merriweather Light" w:hAnsi="Merriweather Light" w:cstheme="minorHAnsi"/>
          <w:sz w:val="20"/>
          <w:szCs w:val="20"/>
        </w:rPr>
        <w:t>Huly</w:t>
      </w:r>
      <w:proofErr w:type="spellEnd"/>
      <w:r w:rsidRPr="003E228E">
        <w:rPr>
          <w:rFonts w:ascii="Merriweather Light" w:hAnsi="Merriweather Light" w:cstheme="minorHAnsi"/>
          <w:sz w:val="20"/>
          <w:szCs w:val="20"/>
        </w:rPr>
        <w:t>, M., &amp; Akron, S. (2015). Corporate social responsibility, environmental leadership and financial performance.</w:t>
      </w:r>
      <w:r w:rsidRPr="008C765C">
        <w:rPr>
          <w:rFonts w:ascii="Merriweather Light" w:hAnsi="Merriweather Light" w:cstheme="minorHAnsi"/>
          <w:i/>
          <w:iCs/>
          <w:sz w:val="20"/>
          <w:szCs w:val="20"/>
        </w:rPr>
        <w:t xml:space="preserve"> Social Responsibility Journal, 11</w:t>
      </w:r>
      <w:r w:rsidRPr="003E228E">
        <w:rPr>
          <w:rFonts w:ascii="Merriweather Light" w:hAnsi="Merriweather Light" w:cstheme="minorHAnsi"/>
          <w:sz w:val="20"/>
          <w:szCs w:val="20"/>
        </w:rPr>
        <w:t xml:space="preserve">(1), 131–148. </w:t>
      </w:r>
      <w:hyperlink r:id="rId29" w:history="1">
        <w:r w:rsidRPr="003B2AE1">
          <w:rPr>
            <w:rStyle w:val="Hyperlink"/>
            <w:rFonts w:ascii="Merriweather Light" w:hAnsi="Merriweather Light" w:cstheme="minorHAnsi"/>
            <w:sz w:val="20"/>
            <w:szCs w:val="20"/>
          </w:rPr>
          <w:t>https://doi.org/10.1108/SRJ-02-2013-0024</w:t>
        </w:r>
      </w:hyperlink>
    </w:p>
    <w:p w14:paraId="4C59A070"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54" w:name="Dragu"/>
      <w:proofErr w:type="spellStart"/>
      <w:r w:rsidRPr="003E228E">
        <w:rPr>
          <w:rFonts w:ascii="Merriweather Light" w:hAnsi="Merriweather Light" w:cstheme="minorHAnsi"/>
          <w:sz w:val="20"/>
          <w:szCs w:val="20"/>
        </w:rPr>
        <w:t>Dragu</w:t>
      </w:r>
      <w:bookmarkEnd w:id="54"/>
      <w:proofErr w:type="spellEnd"/>
      <w:r w:rsidRPr="003E228E">
        <w:rPr>
          <w:rFonts w:ascii="Merriweather Light" w:hAnsi="Merriweather Light" w:cstheme="minorHAnsi"/>
          <w:sz w:val="20"/>
          <w:szCs w:val="20"/>
        </w:rPr>
        <w:t xml:space="preserve">, I. M. (2018). Adoption of integrated reporting an attempt to reduce the gaps between </w:t>
      </w:r>
      <w:proofErr w:type="spellStart"/>
      <w:r w:rsidRPr="003E228E">
        <w:rPr>
          <w:rFonts w:ascii="Merriweather Light" w:hAnsi="Merriweather Light" w:cstheme="minorHAnsi"/>
          <w:sz w:val="20"/>
          <w:szCs w:val="20"/>
        </w:rPr>
        <w:t>csr</w:t>
      </w:r>
      <w:proofErr w:type="spellEnd"/>
      <w:r w:rsidRPr="003E228E">
        <w:rPr>
          <w:rFonts w:ascii="Merriweather Light" w:hAnsi="Merriweather Light" w:cstheme="minorHAnsi"/>
          <w:sz w:val="20"/>
          <w:szCs w:val="20"/>
        </w:rPr>
        <w:t xml:space="preserve"> discourse and its implementation. </w:t>
      </w:r>
      <w:r w:rsidRPr="008C765C">
        <w:rPr>
          <w:rFonts w:ascii="Merriweather Light" w:hAnsi="Merriweather Light" w:cstheme="minorHAnsi"/>
          <w:i/>
          <w:iCs/>
          <w:sz w:val="20"/>
          <w:szCs w:val="20"/>
        </w:rPr>
        <w:t>Developments in Corporate Governance and Responsibility, 13</w:t>
      </w:r>
      <w:r w:rsidRPr="003E228E">
        <w:rPr>
          <w:rFonts w:ascii="Merriweather Light" w:hAnsi="Merriweather Light" w:cstheme="minorHAnsi"/>
          <w:sz w:val="20"/>
          <w:szCs w:val="20"/>
        </w:rPr>
        <w:t xml:space="preserve">, 43–70. </w:t>
      </w:r>
      <w:hyperlink r:id="rId30" w:history="1">
        <w:r w:rsidRPr="003B2AE1">
          <w:rPr>
            <w:rStyle w:val="Hyperlink"/>
            <w:rFonts w:ascii="Merriweather Light" w:hAnsi="Merriweather Light" w:cstheme="minorHAnsi"/>
            <w:sz w:val="20"/>
            <w:szCs w:val="20"/>
          </w:rPr>
          <w:t>https://doi.org/10.1108/S2043-052320180000013006</w:t>
        </w:r>
      </w:hyperlink>
    </w:p>
    <w:p w14:paraId="256CBC3C"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55" w:name="Elmaghrabi"/>
      <w:proofErr w:type="spellStart"/>
      <w:r w:rsidRPr="003E228E">
        <w:rPr>
          <w:rFonts w:ascii="Merriweather Light" w:hAnsi="Merriweather Light" w:cstheme="minorHAnsi"/>
          <w:sz w:val="20"/>
          <w:szCs w:val="20"/>
        </w:rPr>
        <w:t>Elmaghrabi</w:t>
      </w:r>
      <w:bookmarkEnd w:id="55"/>
      <w:proofErr w:type="spellEnd"/>
      <w:r w:rsidRPr="003E228E">
        <w:rPr>
          <w:rFonts w:ascii="Merriweather Light" w:hAnsi="Merriweather Light" w:cstheme="minorHAnsi"/>
          <w:sz w:val="20"/>
          <w:szCs w:val="20"/>
        </w:rPr>
        <w:t xml:space="preserve">, M. E. (2021). CSR committee attributes and CSR performance: UK evidence. </w:t>
      </w:r>
      <w:r w:rsidRPr="008C765C">
        <w:rPr>
          <w:rFonts w:ascii="Merriweather Light" w:hAnsi="Merriweather Light" w:cstheme="minorHAnsi"/>
          <w:i/>
          <w:iCs/>
          <w:sz w:val="20"/>
          <w:szCs w:val="20"/>
        </w:rPr>
        <w:t>Corporate Governance (Bingley), 21</w:t>
      </w:r>
      <w:r w:rsidRPr="003E228E">
        <w:rPr>
          <w:rFonts w:ascii="Merriweather Light" w:hAnsi="Merriweather Light" w:cstheme="minorHAnsi"/>
          <w:sz w:val="20"/>
          <w:szCs w:val="20"/>
        </w:rPr>
        <w:t xml:space="preserve">(5), 892–919. </w:t>
      </w:r>
      <w:hyperlink r:id="rId31" w:history="1">
        <w:r w:rsidRPr="003B2AE1">
          <w:rPr>
            <w:rStyle w:val="Hyperlink"/>
            <w:rFonts w:ascii="Merriweather Light" w:hAnsi="Merriweather Light" w:cstheme="minorHAnsi"/>
            <w:sz w:val="20"/>
            <w:szCs w:val="20"/>
          </w:rPr>
          <w:t>https://doi.org/10.1108/CG-01-2020-0036</w:t>
        </w:r>
      </w:hyperlink>
    </w:p>
    <w:p w14:paraId="577E1194"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56" w:name="Farmaki"/>
      <w:proofErr w:type="spellStart"/>
      <w:r w:rsidRPr="003E228E">
        <w:rPr>
          <w:rFonts w:ascii="Merriweather Light" w:hAnsi="Merriweather Light" w:cstheme="minorHAnsi"/>
          <w:sz w:val="20"/>
          <w:szCs w:val="20"/>
        </w:rPr>
        <w:t>Farmaki</w:t>
      </w:r>
      <w:bookmarkEnd w:id="56"/>
      <w:proofErr w:type="spellEnd"/>
      <w:r w:rsidRPr="003E228E">
        <w:rPr>
          <w:rFonts w:ascii="Merriweather Light" w:hAnsi="Merriweather Light" w:cstheme="minorHAnsi"/>
          <w:sz w:val="20"/>
          <w:szCs w:val="20"/>
        </w:rPr>
        <w:t xml:space="preserve">, A., </w:t>
      </w:r>
      <w:proofErr w:type="spellStart"/>
      <w:r w:rsidRPr="003E228E">
        <w:rPr>
          <w:rFonts w:ascii="Merriweather Light" w:hAnsi="Merriweather Light" w:cstheme="minorHAnsi"/>
          <w:sz w:val="20"/>
          <w:szCs w:val="20"/>
        </w:rPr>
        <w:t>Hadjielias</w:t>
      </w:r>
      <w:proofErr w:type="spellEnd"/>
      <w:r w:rsidRPr="003E228E">
        <w:rPr>
          <w:rFonts w:ascii="Merriweather Light" w:hAnsi="Merriweather Light" w:cstheme="minorHAnsi"/>
          <w:sz w:val="20"/>
          <w:szCs w:val="20"/>
        </w:rPr>
        <w:t xml:space="preserve">, E., </w:t>
      </w:r>
      <w:proofErr w:type="spellStart"/>
      <w:r w:rsidRPr="003E228E">
        <w:rPr>
          <w:rFonts w:ascii="Merriweather Light" w:hAnsi="Merriweather Light" w:cstheme="minorHAnsi"/>
          <w:sz w:val="20"/>
          <w:szCs w:val="20"/>
        </w:rPr>
        <w:t>Olya</w:t>
      </w:r>
      <w:proofErr w:type="spellEnd"/>
      <w:r w:rsidRPr="003E228E">
        <w:rPr>
          <w:rFonts w:ascii="Merriweather Light" w:hAnsi="Merriweather Light" w:cstheme="minorHAnsi"/>
          <w:sz w:val="20"/>
          <w:szCs w:val="20"/>
        </w:rPr>
        <w:t xml:space="preserve">, H., Taheri, B., &amp; </w:t>
      </w:r>
      <w:proofErr w:type="spellStart"/>
      <w:r w:rsidRPr="003E228E">
        <w:rPr>
          <w:rFonts w:ascii="Merriweather Light" w:hAnsi="Merriweather Light" w:cstheme="minorHAnsi"/>
          <w:sz w:val="20"/>
          <w:szCs w:val="20"/>
        </w:rPr>
        <w:t>Hadjielia</w:t>
      </w:r>
      <w:proofErr w:type="spellEnd"/>
      <w:r w:rsidRPr="003E228E">
        <w:rPr>
          <w:rFonts w:ascii="Merriweather Light" w:hAnsi="Merriweather Light" w:cstheme="minorHAnsi"/>
          <w:sz w:val="20"/>
          <w:szCs w:val="20"/>
        </w:rPr>
        <w:t xml:space="preserve"> </w:t>
      </w:r>
      <w:proofErr w:type="spellStart"/>
      <w:r w:rsidRPr="003E228E">
        <w:rPr>
          <w:rFonts w:ascii="Merriweather Light" w:hAnsi="Merriweather Light" w:cstheme="minorHAnsi"/>
          <w:sz w:val="20"/>
          <w:szCs w:val="20"/>
        </w:rPr>
        <w:t>Drotarova</w:t>
      </w:r>
      <w:proofErr w:type="spellEnd"/>
      <w:r w:rsidRPr="003E228E">
        <w:rPr>
          <w:rFonts w:ascii="Merriweather Light" w:hAnsi="Merriweather Light" w:cstheme="minorHAnsi"/>
          <w:sz w:val="20"/>
          <w:szCs w:val="20"/>
        </w:rPr>
        <w:t xml:space="preserve">, M. (2022). CSR communication and international marketing: Insights from the COVID-19 pandemic. </w:t>
      </w:r>
      <w:r w:rsidRPr="002F3F34">
        <w:rPr>
          <w:rFonts w:ascii="Merriweather Light" w:hAnsi="Merriweather Light" w:cstheme="minorHAnsi"/>
          <w:i/>
          <w:iCs/>
          <w:sz w:val="20"/>
          <w:szCs w:val="20"/>
        </w:rPr>
        <w:t>International Marketing Review.</w:t>
      </w:r>
      <w:r w:rsidRPr="003E228E">
        <w:rPr>
          <w:rFonts w:ascii="Merriweather Light" w:hAnsi="Merriweather Light" w:cstheme="minorHAnsi"/>
          <w:sz w:val="20"/>
          <w:szCs w:val="20"/>
        </w:rPr>
        <w:t xml:space="preserve"> </w:t>
      </w:r>
      <w:hyperlink r:id="rId32" w:history="1">
        <w:r w:rsidRPr="003B2AE1">
          <w:rPr>
            <w:rStyle w:val="Hyperlink"/>
            <w:rFonts w:ascii="Merriweather Light" w:hAnsi="Merriweather Light" w:cstheme="minorHAnsi"/>
            <w:sz w:val="20"/>
            <w:szCs w:val="20"/>
          </w:rPr>
          <w:t>https://doi.org/10.1108/IMR-12-2021-0375</w:t>
        </w:r>
      </w:hyperlink>
    </w:p>
    <w:p w14:paraId="1A75350F"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57" w:name="Gangi"/>
      <w:proofErr w:type="spellStart"/>
      <w:r w:rsidRPr="003E228E">
        <w:rPr>
          <w:rFonts w:ascii="Merriweather Light" w:hAnsi="Merriweather Light" w:cstheme="minorHAnsi"/>
          <w:sz w:val="20"/>
          <w:szCs w:val="20"/>
        </w:rPr>
        <w:t>Gangi</w:t>
      </w:r>
      <w:bookmarkEnd w:id="57"/>
      <w:proofErr w:type="spellEnd"/>
      <w:r w:rsidRPr="003E228E">
        <w:rPr>
          <w:rFonts w:ascii="Merriweather Light" w:hAnsi="Merriweather Light" w:cstheme="minorHAnsi"/>
          <w:sz w:val="20"/>
          <w:szCs w:val="20"/>
        </w:rPr>
        <w:t xml:space="preserve">, F., </w:t>
      </w:r>
      <w:proofErr w:type="spellStart"/>
      <w:r w:rsidRPr="003E228E">
        <w:rPr>
          <w:rFonts w:ascii="Merriweather Light" w:hAnsi="Merriweather Light" w:cstheme="minorHAnsi"/>
          <w:sz w:val="20"/>
          <w:szCs w:val="20"/>
        </w:rPr>
        <w:t>Mustilli</w:t>
      </w:r>
      <w:proofErr w:type="spellEnd"/>
      <w:r w:rsidRPr="003E228E">
        <w:rPr>
          <w:rFonts w:ascii="Merriweather Light" w:hAnsi="Merriweather Light" w:cstheme="minorHAnsi"/>
          <w:sz w:val="20"/>
          <w:szCs w:val="20"/>
        </w:rPr>
        <w:t xml:space="preserve">, M., &amp; </w:t>
      </w:r>
      <w:proofErr w:type="spellStart"/>
      <w:r w:rsidRPr="003E228E">
        <w:rPr>
          <w:rFonts w:ascii="Merriweather Light" w:hAnsi="Merriweather Light" w:cstheme="minorHAnsi"/>
          <w:sz w:val="20"/>
          <w:szCs w:val="20"/>
        </w:rPr>
        <w:t>Varrone</w:t>
      </w:r>
      <w:proofErr w:type="spellEnd"/>
      <w:r w:rsidRPr="003E228E">
        <w:rPr>
          <w:rFonts w:ascii="Merriweather Light" w:hAnsi="Merriweather Light" w:cstheme="minorHAnsi"/>
          <w:sz w:val="20"/>
          <w:szCs w:val="20"/>
        </w:rPr>
        <w:t xml:space="preserve">, N. (2019). The impact of corporate social responsibility (CSR) knowledge on corporate financial performance: evidence from the European banking industry. </w:t>
      </w:r>
      <w:r w:rsidRPr="00303DC9">
        <w:rPr>
          <w:rFonts w:ascii="Merriweather Light" w:hAnsi="Merriweather Light" w:cstheme="minorHAnsi"/>
          <w:i/>
          <w:iCs/>
          <w:sz w:val="20"/>
          <w:szCs w:val="20"/>
        </w:rPr>
        <w:t>Journal of Knowledge Management, 23</w:t>
      </w:r>
      <w:r w:rsidRPr="003E228E">
        <w:rPr>
          <w:rFonts w:ascii="Merriweather Light" w:hAnsi="Merriweather Light" w:cstheme="minorHAnsi"/>
          <w:sz w:val="20"/>
          <w:szCs w:val="20"/>
        </w:rPr>
        <w:t xml:space="preserve">(1), 110–134. </w:t>
      </w:r>
      <w:hyperlink r:id="rId33" w:history="1">
        <w:r w:rsidRPr="003B2AE1">
          <w:rPr>
            <w:rStyle w:val="Hyperlink"/>
            <w:rFonts w:ascii="Merriweather Light" w:hAnsi="Merriweather Light" w:cstheme="minorHAnsi"/>
            <w:sz w:val="20"/>
            <w:szCs w:val="20"/>
          </w:rPr>
          <w:t>https://doi.org/10.1108/JKM-04-2018-0267</w:t>
        </w:r>
      </w:hyperlink>
    </w:p>
    <w:p w14:paraId="1D812F35"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58" w:name="Hamdoun"/>
      <w:proofErr w:type="spellStart"/>
      <w:r w:rsidRPr="003E228E">
        <w:rPr>
          <w:rFonts w:ascii="Merriweather Light" w:hAnsi="Merriweather Light" w:cstheme="minorHAnsi"/>
          <w:sz w:val="20"/>
          <w:szCs w:val="20"/>
        </w:rPr>
        <w:t>Hamdoun</w:t>
      </w:r>
      <w:bookmarkEnd w:id="58"/>
      <w:proofErr w:type="spellEnd"/>
      <w:r w:rsidRPr="003E228E">
        <w:rPr>
          <w:rFonts w:ascii="Merriweather Light" w:hAnsi="Merriweather Light" w:cstheme="minorHAnsi"/>
          <w:sz w:val="20"/>
          <w:szCs w:val="20"/>
        </w:rPr>
        <w:t xml:space="preserve">, M., </w:t>
      </w:r>
      <w:proofErr w:type="spellStart"/>
      <w:r w:rsidRPr="003E228E">
        <w:rPr>
          <w:rFonts w:ascii="Merriweather Light" w:hAnsi="Merriweather Light" w:cstheme="minorHAnsi"/>
          <w:sz w:val="20"/>
          <w:szCs w:val="20"/>
        </w:rPr>
        <w:t>Achabou</w:t>
      </w:r>
      <w:proofErr w:type="spellEnd"/>
      <w:r w:rsidRPr="003E228E">
        <w:rPr>
          <w:rFonts w:ascii="Merriweather Light" w:hAnsi="Merriweather Light" w:cstheme="minorHAnsi"/>
          <w:sz w:val="20"/>
          <w:szCs w:val="20"/>
        </w:rPr>
        <w:t xml:space="preserve">, M. A., &amp; </w:t>
      </w:r>
      <w:proofErr w:type="spellStart"/>
      <w:r w:rsidRPr="003E228E">
        <w:rPr>
          <w:rFonts w:ascii="Merriweather Light" w:hAnsi="Merriweather Light" w:cstheme="minorHAnsi"/>
          <w:sz w:val="20"/>
          <w:szCs w:val="20"/>
        </w:rPr>
        <w:t>Dekhili</w:t>
      </w:r>
      <w:proofErr w:type="spellEnd"/>
      <w:r w:rsidRPr="003E228E">
        <w:rPr>
          <w:rFonts w:ascii="Merriweather Light" w:hAnsi="Merriweather Light" w:cstheme="minorHAnsi"/>
          <w:sz w:val="20"/>
          <w:szCs w:val="20"/>
        </w:rPr>
        <w:t xml:space="preserve">, S. (2022). Could CSR improve the financial performance of developing countries’ firms? Analyses of mediating effect of intangible resources. </w:t>
      </w:r>
      <w:r w:rsidRPr="00303DC9">
        <w:rPr>
          <w:rFonts w:ascii="Merriweather Light" w:hAnsi="Merriweather Light" w:cstheme="minorHAnsi"/>
          <w:i/>
          <w:iCs/>
          <w:sz w:val="20"/>
          <w:szCs w:val="20"/>
        </w:rPr>
        <w:t>European Business Review, 34</w:t>
      </w:r>
      <w:r w:rsidRPr="003E228E">
        <w:rPr>
          <w:rFonts w:ascii="Merriweather Light" w:hAnsi="Merriweather Light" w:cstheme="minorHAnsi"/>
          <w:sz w:val="20"/>
          <w:szCs w:val="20"/>
        </w:rPr>
        <w:t xml:space="preserve">(1), </w:t>
      </w:r>
      <w:r w:rsidRPr="003E228E">
        <w:rPr>
          <w:rFonts w:ascii="Merriweather Light" w:hAnsi="Merriweather Light" w:cstheme="minorHAnsi"/>
          <w:sz w:val="20"/>
          <w:szCs w:val="20"/>
        </w:rPr>
        <w:t xml:space="preserve">41–61. </w:t>
      </w:r>
      <w:hyperlink r:id="rId34" w:history="1">
        <w:r w:rsidRPr="003B2AE1">
          <w:rPr>
            <w:rStyle w:val="Hyperlink"/>
            <w:rFonts w:ascii="Merriweather Light" w:hAnsi="Merriweather Light" w:cstheme="minorHAnsi"/>
            <w:sz w:val="20"/>
            <w:szCs w:val="20"/>
          </w:rPr>
          <w:t>https://doi.org/10.1108/EBR-09-2019-0236</w:t>
        </w:r>
      </w:hyperlink>
    </w:p>
    <w:p w14:paraId="7FFCC4EA"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59" w:name="Hammami"/>
      <w:proofErr w:type="spellStart"/>
      <w:r w:rsidRPr="003E228E">
        <w:rPr>
          <w:rFonts w:ascii="Merriweather Light" w:hAnsi="Merriweather Light" w:cstheme="minorHAnsi"/>
          <w:sz w:val="20"/>
          <w:szCs w:val="20"/>
        </w:rPr>
        <w:t>Hammami</w:t>
      </w:r>
      <w:bookmarkEnd w:id="59"/>
      <w:proofErr w:type="spellEnd"/>
      <w:r w:rsidRPr="003E228E">
        <w:rPr>
          <w:rFonts w:ascii="Merriweather Light" w:hAnsi="Merriweather Light" w:cstheme="minorHAnsi"/>
          <w:sz w:val="20"/>
          <w:szCs w:val="20"/>
        </w:rPr>
        <w:t xml:space="preserve">, A., &amp; </w:t>
      </w:r>
      <w:proofErr w:type="spellStart"/>
      <w:r w:rsidRPr="003E228E">
        <w:rPr>
          <w:rFonts w:ascii="Merriweather Light" w:hAnsi="Merriweather Light" w:cstheme="minorHAnsi"/>
          <w:sz w:val="20"/>
          <w:szCs w:val="20"/>
        </w:rPr>
        <w:t>Hendijani</w:t>
      </w:r>
      <w:proofErr w:type="spellEnd"/>
      <w:r w:rsidRPr="003E228E">
        <w:rPr>
          <w:rFonts w:ascii="Merriweather Light" w:hAnsi="Merriweather Light" w:cstheme="minorHAnsi"/>
          <w:sz w:val="20"/>
          <w:szCs w:val="20"/>
        </w:rPr>
        <w:t xml:space="preserve"> </w:t>
      </w:r>
      <w:proofErr w:type="spellStart"/>
      <w:r w:rsidRPr="003E228E">
        <w:rPr>
          <w:rFonts w:ascii="Merriweather Light" w:hAnsi="Merriweather Light" w:cstheme="minorHAnsi"/>
          <w:sz w:val="20"/>
          <w:szCs w:val="20"/>
        </w:rPr>
        <w:t>Zadeh</w:t>
      </w:r>
      <w:proofErr w:type="spellEnd"/>
      <w:r w:rsidRPr="003E228E">
        <w:rPr>
          <w:rFonts w:ascii="Merriweather Light" w:hAnsi="Merriweather Light" w:cstheme="minorHAnsi"/>
          <w:sz w:val="20"/>
          <w:szCs w:val="20"/>
        </w:rPr>
        <w:t xml:space="preserve">, M. (2020). Audit quality, media coverage, environmental, social, and governance disclosure and firm investment efficiency: Evidence from Canada. </w:t>
      </w:r>
      <w:r w:rsidRPr="00E956CB">
        <w:rPr>
          <w:rFonts w:ascii="Merriweather Light" w:hAnsi="Merriweather Light" w:cstheme="minorHAnsi"/>
          <w:i/>
          <w:iCs/>
          <w:sz w:val="20"/>
          <w:szCs w:val="20"/>
        </w:rPr>
        <w:t>International Journal of Accounting and Information Management, 28</w:t>
      </w:r>
      <w:r w:rsidRPr="003E228E">
        <w:rPr>
          <w:rFonts w:ascii="Merriweather Light" w:hAnsi="Merriweather Light" w:cstheme="minorHAnsi"/>
          <w:sz w:val="20"/>
          <w:szCs w:val="20"/>
        </w:rPr>
        <w:t xml:space="preserve">(1), 45–72. </w:t>
      </w:r>
      <w:hyperlink r:id="rId35" w:history="1">
        <w:r w:rsidRPr="003B2AE1">
          <w:rPr>
            <w:rStyle w:val="Hyperlink"/>
            <w:rFonts w:ascii="Merriweather Light" w:hAnsi="Merriweather Light" w:cstheme="minorHAnsi"/>
            <w:sz w:val="20"/>
            <w:szCs w:val="20"/>
          </w:rPr>
          <w:t>https://doi.org/10.1108/IJAIM-03-2019-0041</w:t>
        </w:r>
      </w:hyperlink>
    </w:p>
    <w:p w14:paraId="1F1B3BD9"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60" w:name="Hedges"/>
      <w:r w:rsidRPr="003E228E">
        <w:rPr>
          <w:rFonts w:ascii="Merriweather Light" w:hAnsi="Merriweather Light" w:cstheme="minorHAnsi"/>
          <w:sz w:val="20"/>
          <w:szCs w:val="20"/>
        </w:rPr>
        <w:t>Hedges</w:t>
      </w:r>
      <w:bookmarkEnd w:id="60"/>
      <w:r w:rsidRPr="003E228E">
        <w:rPr>
          <w:rFonts w:ascii="Merriweather Light" w:hAnsi="Merriweather Light" w:cstheme="minorHAnsi"/>
          <w:sz w:val="20"/>
          <w:szCs w:val="20"/>
        </w:rPr>
        <w:t xml:space="preserve">, L. V. (2021). Distribution Theory for Glass’s Estimator of Effect Size and Related Estimators. </w:t>
      </w:r>
      <w:r w:rsidRPr="00E956CB">
        <w:rPr>
          <w:rFonts w:ascii="Merriweather Light" w:hAnsi="Merriweather Light" w:cstheme="minorHAnsi"/>
          <w:i/>
          <w:iCs/>
          <w:sz w:val="20"/>
          <w:szCs w:val="20"/>
        </w:rPr>
        <w:t>Journal of Educational Statistics, 6</w:t>
      </w:r>
      <w:r w:rsidRPr="003E228E">
        <w:rPr>
          <w:rFonts w:ascii="Merriweather Light" w:hAnsi="Merriweather Light" w:cstheme="minorHAnsi"/>
          <w:sz w:val="20"/>
          <w:szCs w:val="20"/>
        </w:rPr>
        <w:t xml:space="preserve">(2), 107. </w:t>
      </w:r>
      <w:hyperlink r:id="rId36" w:history="1">
        <w:r w:rsidRPr="003B2AE1">
          <w:rPr>
            <w:rStyle w:val="Hyperlink"/>
            <w:rFonts w:ascii="Merriweather Light" w:hAnsi="Merriweather Light" w:cstheme="minorHAnsi"/>
            <w:sz w:val="20"/>
            <w:szCs w:val="20"/>
          </w:rPr>
          <w:t>https://doi.org/10.2307/1164588</w:t>
        </w:r>
      </w:hyperlink>
    </w:p>
    <w:p w14:paraId="72D3AA9A"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61" w:name="Hichri"/>
      <w:proofErr w:type="spellStart"/>
      <w:r w:rsidRPr="003E228E">
        <w:rPr>
          <w:rFonts w:ascii="Merriweather Light" w:hAnsi="Merriweather Light" w:cstheme="minorHAnsi"/>
          <w:sz w:val="20"/>
          <w:szCs w:val="20"/>
        </w:rPr>
        <w:t>Hichri</w:t>
      </w:r>
      <w:bookmarkEnd w:id="61"/>
      <w:proofErr w:type="spellEnd"/>
      <w:r w:rsidRPr="003E228E">
        <w:rPr>
          <w:rFonts w:ascii="Merriweather Light" w:hAnsi="Merriweather Light" w:cstheme="minorHAnsi"/>
          <w:sz w:val="20"/>
          <w:szCs w:val="20"/>
        </w:rPr>
        <w:t xml:space="preserve">, A., &amp; </w:t>
      </w:r>
      <w:proofErr w:type="spellStart"/>
      <w:r w:rsidRPr="003E228E">
        <w:rPr>
          <w:rFonts w:ascii="Merriweather Light" w:hAnsi="Merriweather Light" w:cstheme="minorHAnsi"/>
          <w:sz w:val="20"/>
          <w:szCs w:val="20"/>
        </w:rPr>
        <w:t>Ltifi</w:t>
      </w:r>
      <w:proofErr w:type="spellEnd"/>
      <w:r w:rsidRPr="003E228E">
        <w:rPr>
          <w:rFonts w:ascii="Merriweather Light" w:hAnsi="Merriweather Light" w:cstheme="minorHAnsi"/>
          <w:sz w:val="20"/>
          <w:szCs w:val="20"/>
        </w:rPr>
        <w:t xml:space="preserve">, M. (2021). Corporate social responsibility and financial performance: bidirectional relationship and mediating effect of customer loyalty: investigation in Sweden. </w:t>
      </w:r>
      <w:r w:rsidRPr="00E956CB">
        <w:rPr>
          <w:rFonts w:ascii="Merriweather Light" w:hAnsi="Merriweather Light" w:cstheme="minorHAnsi"/>
          <w:i/>
          <w:iCs/>
          <w:sz w:val="20"/>
          <w:szCs w:val="20"/>
        </w:rPr>
        <w:t>Corporate Governance (Bingley), 21</w:t>
      </w:r>
      <w:r w:rsidRPr="003E228E">
        <w:rPr>
          <w:rFonts w:ascii="Merriweather Light" w:hAnsi="Merriweather Light" w:cstheme="minorHAnsi"/>
          <w:sz w:val="20"/>
          <w:szCs w:val="20"/>
        </w:rPr>
        <w:t xml:space="preserve">(7), 1495–1518. </w:t>
      </w:r>
      <w:hyperlink r:id="rId37" w:history="1">
        <w:r w:rsidRPr="003B2AE1">
          <w:rPr>
            <w:rStyle w:val="Hyperlink"/>
            <w:rFonts w:ascii="Merriweather Light" w:hAnsi="Merriweather Light" w:cstheme="minorHAnsi"/>
            <w:sz w:val="20"/>
            <w:szCs w:val="20"/>
          </w:rPr>
          <w:t>https://doi.org/10.1108/CG-10-2020-0472</w:t>
        </w:r>
      </w:hyperlink>
    </w:p>
    <w:p w14:paraId="3D44CDAE"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62" w:name="Hinze"/>
      <w:proofErr w:type="spellStart"/>
      <w:r w:rsidRPr="003E228E">
        <w:rPr>
          <w:rFonts w:ascii="Merriweather Light" w:hAnsi="Merriweather Light" w:cstheme="minorHAnsi"/>
          <w:sz w:val="20"/>
          <w:szCs w:val="20"/>
        </w:rPr>
        <w:t>Hinze</w:t>
      </w:r>
      <w:bookmarkEnd w:id="62"/>
      <w:proofErr w:type="spellEnd"/>
      <w:r w:rsidRPr="003E228E">
        <w:rPr>
          <w:rFonts w:ascii="Merriweather Light" w:hAnsi="Merriweather Light" w:cstheme="minorHAnsi"/>
          <w:sz w:val="20"/>
          <w:szCs w:val="20"/>
        </w:rPr>
        <w:t xml:space="preserve">, A. K., &amp; Sump, F. (2019). Corporate social responsibility and financial analysts: a review of the literature. </w:t>
      </w:r>
      <w:r w:rsidRPr="00E956CB">
        <w:rPr>
          <w:rFonts w:ascii="Merriweather Light" w:hAnsi="Merriweather Light" w:cstheme="minorHAnsi"/>
          <w:i/>
          <w:iCs/>
          <w:sz w:val="20"/>
          <w:szCs w:val="20"/>
        </w:rPr>
        <w:t>Sustainability Accounting, Management and Policy Journal, 10</w:t>
      </w:r>
      <w:r w:rsidRPr="003E228E">
        <w:rPr>
          <w:rFonts w:ascii="Merriweather Light" w:hAnsi="Merriweather Light" w:cstheme="minorHAnsi"/>
          <w:sz w:val="20"/>
          <w:szCs w:val="20"/>
        </w:rPr>
        <w:t xml:space="preserve">(1), 183–207. </w:t>
      </w:r>
      <w:hyperlink r:id="rId38" w:history="1">
        <w:r w:rsidRPr="003B2AE1">
          <w:rPr>
            <w:rStyle w:val="Hyperlink"/>
            <w:rFonts w:ascii="Merriweather Light" w:hAnsi="Merriweather Light" w:cstheme="minorHAnsi"/>
            <w:sz w:val="20"/>
            <w:szCs w:val="20"/>
          </w:rPr>
          <w:t>https://doi.org/10.1108/SAMPJ-05-2017-0043</w:t>
        </w:r>
      </w:hyperlink>
    </w:p>
    <w:p w14:paraId="1393703E"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63" w:name="Hossain"/>
      <w:r w:rsidRPr="003E228E">
        <w:rPr>
          <w:rFonts w:ascii="Merriweather Light" w:hAnsi="Merriweather Light" w:cstheme="minorHAnsi"/>
          <w:sz w:val="20"/>
          <w:szCs w:val="20"/>
        </w:rPr>
        <w:t>Hossain</w:t>
      </w:r>
      <w:bookmarkEnd w:id="63"/>
      <w:r w:rsidRPr="003E228E">
        <w:rPr>
          <w:rFonts w:ascii="Merriweather Light" w:hAnsi="Merriweather Light" w:cstheme="minorHAnsi"/>
          <w:sz w:val="20"/>
          <w:szCs w:val="20"/>
        </w:rPr>
        <w:t xml:space="preserve">, M. M., &amp; </w:t>
      </w:r>
      <w:proofErr w:type="spellStart"/>
      <w:r w:rsidRPr="003E228E">
        <w:rPr>
          <w:rFonts w:ascii="Merriweather Light" w:hAnsi="Merriweather Light" w:cstheme="minorHAnsi"/>
          <w:sz w:val="20"/>
          <w:szCs w:val="20"/>
        </w:rPr>
        <w:t>Alam</w:t>
      </w:r>
      <w:proofErr w:type="spellEnd"/>
      <w:r w:rsidRPr="003E228E">
        <w:rPr>
          <w:rFonts w:ascii="Merriweather Light" w:hAnsi="Merriweather Light" w:cstheme="minorHAnsi"/>
          <w:sz w:val="20"/>
          <w:szCs w:val="20"/>
        </w:rPr>
        <w:t>, M. (2016). Corporate social reporting (CSR) and stakeholder accountability in Bangladesh: Perceptions of less economically powerful stakeholders.</w:t>
      </w:r>
      <w:r w:rsidRPr="00E956CB">
        <w:rPr>
          <w:rFonts w:ascii="Merriweather Light" w:hAnsi="Merriweather Light" w:cstheme="minorHAnsi"/>
          <w:i/>
          <w:iCs/>
          <w:sz w:val="20"/>
          <w:szCs w:val="20"/>
        </w:rPr>
        <w:t xml:space="preserve"> International Journal of Accounting and Information Management, 24</w:t>
      </w:r>
      <w:r w:rsidRPr="003E228E">
        <w:rPr>
          <w:rFonts w:ascii="Merriweather Light" w:hAnsi="Merriweather Light" w:cstheme="minorHAnsi"/>
          <w:sz w:val="20"/>
          <w:szCs w:val="20"/>
        </w:rPr>
        <w:t xml:space="preserve">(4), 415–442. </w:t>
      </w:r>
      <w:hyperlink r:id="rId39" w:history="1">
        <w:r w:rsidRPr="003B2AE1">
          <w:rPr>
            <w:rStyle w:val="Hyperlink"/>
            <w:rFonts w:ascii="Merriweather Light" w:hAnsi="Merriweather Light" w:cstheme="minorHAnsi"/>
            <w:sz w:val="20"/>
            <w:szCs w:val="20"/>
          </w:rPr>
          <w:t>https://doi.org/10.1108/IJAIM-05-2016-0064</w:t>
        </w:r>
      </w:hyperlink>
    </w:p>
    <w:p w14:paraId="1A45C0CF"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64" w:name="Jeffrey"/>
      <w:r w:rsidRPr="003E228E">
        <w:rPr>
          <w:rFonts w:ascii="Merriweather Light" w:hAnsi="Merriweather Light" w:cstheme="minorHAnsi"/>
          <w:sz w:val="20"/>
          <w:szCs w:val="20"/>
        </w:rPr>
        <w:t>Jeffrey</w:t>
      </w:r>
      <w:bookmarkEnd w:id="64"/>
      <w:r w:rsidRPr="003E228E">
        <w:rPr>
          <w:rFonts w:ascii="Merriweather Light" w:hAnsi="Merriweather Light" w:cstheme="minorHAnsi"/>
          <w:sz w:val="20"/>
          <w:szCs w:val="20"/>
        </w:rPr>
        <w:t xml:space="preserve">, S., Rosenberg, S., &amp; McCabe, B. (2019). Corporate social responsibility behaviors and corporate reputation. </w:t>
      </w:r>
      <w:r w:rsidRPr="00E956CB">
        <w:rPr>
          <w:rFonts w:ascii="Merriweather Light" w:hAnsi="Merriweather Light" w:cstheme="minorHAnsi"/>
          <w:i/>
          <w:iCs/>
          <w:sz w:val="20"/>
          <w:szCs w:val="20"/>
        </w:rPr>
        <w:t>Social Responsibility Journal, 15</w:t>
      </w:r>
      <w:r w:rsidRPr="003E228E">
        <w:rPr>
          <w:rFonts w:ascii="Merriweather Light" w:hAnsi="Merriweather Light" w:cstheme="minorHAnsi"/>
          <w:sz w:val="20"/>
          <w:szCs w:val="20"/>
        </w:rPr>
        <w:t xml:space="preserve">(3), 395–408. </w:t>
      </w:r>
      <w:hyperlink r:id="rId40" w:history="1">
        <w:r w:rsidRPr="003B2AE1">
          <w:rPr>
            <w:rStyle w:val="Hyperlink"/>
            <w:rFonts w:ascii="Merriweather Light" w:hAnsi="Merriweather Light" w:cstheme="minorHAnsi"/>
            <w:sz w:val="20"/>
            <w:szCs w:val="20"/>
          </w:rPr>
          <w:t>https://doi.org/10.1108/SRJ-11-2017-0255</w:t>
        </w:r>
      </w:hyperlink>
    </w:p>
    <w:p w14:paraId="01028737"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65" w:name="Kraus"/>
      <w:r w:rsidRPr="003E228E">
        <w:rPr>
          <w:rFonts w:ascii="Merriweather Light" w:hAnsi="Merriweather Light" w:cstheme="minorHAnsi"/>
          <w:sz w:val="20"/>
          <w:szCs w:val="20"/>
        </w:rPr>
        <w:t>Kraus</w:t>
      </w:r>
      <w:bookmarkEnd w:id="65"/>
      <w:r w:rsidRPr="003E228E">
        <w:rPr>
          <w:rFonts w:ascii="Merriweather Light" w:hAnsi="Merriweather Light" w:cstheme="minorHAnsi"/>
          <w:sz w:val="20"/>
          <w:szCs w:val="20"/>
        </w:rPr>
        <w:t xml:space="preserve">, P., </w:t>
      </w:r>
      <w:proofErr w:type="spellStart"/>
      <w:r w:rsidRPr="003E228E">
        <w:rPr>
          <w:rFonts w:ascii="Merriweather Light" w:hAnsi="Merriweather Light" w:cstheme="minorHAnsi"/>
          <w:sz w:val="20"/>
          <w:szCs w:val="20"/>
        </w:rPr>
        <w:t>Britzelmaier</w:t>
      </w:r>
      <w:proofErr w:type="spellEnd"/>
      <w:r w:rsidRPr="003E228E">
        <w:rPr>
          <w:rFonts w:ascii="Merriweather Light" w:hAnsi="Merriweather Light" w:cstheme="minorHAnsi"/>
          <w:sz w:val="20"/>
          <w:szCs w:val="20"/>
        </w:rPr>
        <w:t xml:space="preserve">, B., Stokes, P., &amp; Moore, N. (2018). Challenging the business case logic for sustainability as an instrument of CSR: Do consumer attitudes in Germany support a business case? </w:t>
      </w:r>
      <w:r w:rsidRPr="00E956CB">
        <w:rPr>
          <w:rFonts w:ascii="Merriweather Light" w:hAnsi="Merriweather Light" w:cstheme="minorHAnsi"/>
          <w:i/>
          <w:iCs/>
          <w:sz w:val="20"/>
          <w:szCs w:val="20"/>
        </w:rPr>
        <w:t xml:space="preserve">Critical Studies on Corporate Responsibility, Governance and Sustainability, </w:t>
      </w:r>
      <w:r w:rsidRPr="00E956CB">
        <w:rPr>
          <w:rFonts w:ascii="Merriweather Light" w:hAnsi="Merriweather Light" w:cstheme="minorHAnsi"/>
          <w:i/>
          <w:iCs/>
          <w:sz w:val="20"/>
          <w:szCs w:val="20"/>
        </w:rPr>
        <w:lastRenderedPageBreak/>
        <w:t>12</w:t>
      </w:r>
      <w:r w:rsidRPr="003E228E">
        <w:rPr>
          <w:rFonts w:ascii="Merriweather Light" w:hAnsi="Merriweather Light" w:cstheme="minorHAnsi"/>
          <w:sz w:val="20"/>
          <w:szCs w:val="20"/>
        </w:rPr>
        <w:t xml:space="preserve">, 181–205. </w:t>
      </w:r>
      <w:hyperlink r:id="rId41" w:history="1">
        <w:r w:rsidRPr="003B2AE1">
          <w:rPr>
            <w:rStyle w:val="Hyperlink"/>
            <w:rFonts w:ascii="Merriweather Light" w:hAnsi="Merriweather Light" w:cstheme="minorHAnsi"/>
            <w:sz w:val="20"/>
            <w:szCs w:val="20"/>
          </w:rPr>
          <w:t>https://doi.org/10.1108/S2043-905920180000012009</w:t>
        </w:r>
      </w:hyperlink>
    </w:p>
    <w:p w14:paraId="5909FD6E"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66" w:name="Lechuga"/>
      <w:proofErr w:type="spellStart"/>
      <w:r w:rsidRPr="003E228E">
        <w:rPr>
          <w:rFonts w:ascii="Merriweather Light" w:hAnsi="Merriweather Light" w:cstheme="minorHAnsi"/>
          <w:sz w:val="20"/>
          <w:szCs w:val="20"/>
        </w:rPr>
        <w:t>Lechuga</w:t>
      </w:r>
      <w:proofErr w:type="spellEnd"/>
      <w:r w:rsidRPr="003E228E">
        <w:rPr>
          <w:rFonts w:ascii="Merriweather Light" w:hAnsi="Merriweather Light" w:cstheme="minorHAnsi"/>
          <w:sz w:val="20"/>
          <w:szCs w:val="20"/>
        </w:rPr>
        <w:t xml:space="preserve"> </w:t>
      </w:r>
      <w:bookmarkEnd w:id="66"/>
      <w:r w:rsidRPr="003E228E">
        <w:rPr>
          <w:rFonts w:ascii="Merriweather Light" w:hAnsi="Merriweather Light" w:cstheme="minorHAnsi"/>
          <w:sz w:val="20"/>
          <w:szCs w:val="20"/>
        </w:rPr>
        <w:t xml:space="preserve">Sancho, M. P., </w:t>
      </w:r>
      <w:proofErr w:type="spellStart"/>
      <w:r w:rsidRPr="003E228E">
        <w:rPr>
          <w:rFonts w:ascii="Merriweather Light" w:hAnsi="Merriweather Light" w:cstheme="minorHAnsi"/>
          <w:sz w:val="20"/>
          <w:szCs w:val="20"/>
        </w:rPr>
        <w:t>Martínez-Martínez</w:t>
      </w:r>
      <w:proofErr w:type="spellEnd"/>
      <w:r w:rsidRPr="003E228E">
        <w:rPr>
          <w:rFonts w:ascii="Merriweather Light" w:hAnsi="Merriweather Light" w:cstheme="minorHAnsi"/>
          <w:sz w:val="20"/>
          <w:szCs w:val="20"/>
        </w:rPr>
        <w:t xml:space="preserve">, D., </w:t>
      </w:r>
      <w:proofErr w:type="spellStart"/>
      <w:r w:rsidRPr="003E228E">
        <w:rPr>
          <w:rFonts w:ascii="Merriweather Light" w:hAnsi="Merriweather Light" w:cstheme="minorHAnsi"/>
          <w:sz w:val="20"/>
          <w:szCs w:val="20"/>
        </w:rPr>
        <w:t>Larran</w:t>
      </w:r>
      <w:proofErr w:type="spellEnd"/>
      <w:r w:rsidRPr="003E228E">
        <w:rPr>
          <w:rFonts w:ascii="Merriweather Light" w:hAnsi="Merriweather Light" w:cstheme="minorHAnsi"/>
          <w:sz w:val="20"/>
          <w:szCs w:val="20"/>
        </w:rPr>
        <w:t xml:space="preserve"> Jorge, M., &amp; Herrera </w:t>
      </w:r>
      <w:proofErr w:type="spellStart"/>
      <w:r w:rsidRPr="003E228E">
        <w:rPr>
          <w:rFonts w:ascii="Merriweather Light" w:hAnsi="Merriweather Light" w:cstheme="minorHAnsi"/>
          <w:sz w:val="20"/>
          <w:szCs w:val="20"/>
        </w:rPr>
        <w:t>Madueño</w:t>
      </w:r>
      <w:proofErr w:type="spellEnd"/>
      <w:r w:rsidRPr="003E228E">
        <w:rPr>
          <w:rFonts w:ascii="Merriweather Light" w:hAnsi="Merriweather Light" w:cstheme="minorHAnsi"/>
          <w:sz w:val="20"/>
          <w:szCs w:val="20"/>
        </w:rPr>
        <w:t xml:space="preserve">, J. (2018). Understanding the link between socially responsible human resource management and competitive performance in SMEs. </w:t>
      </w:r>
      <w:r w:rsidRPr="006C2B07">
        <w:rPr>
          <w:rFonts w:ascii="Merriweather Light" w:hAnsi="Merriweather Light" w:cstheme="minorHAnsi"/>
          <w:i/>
          <w:iCs/>
          <w:sz w:val="20"/>
          <w:szCs w:val="20"/>
        </w:rPr>
        <w:t>Personnel Review, 47</w:t>
      </w:r>
      <w:r w:rsidRPr="003E228E">
        <w:rPr>
          <w:rFonts w:ascii="Merriweather Light" w:hAnsi="Merriweather Light" w:cstheme="minorHAnsi"/>
          <w:sz w:val="20"/>
          <w:szCs w:val="20"/>
        </w:rPr>
        <w:t xml:space="preserve">(6), 1215–1247. </w:t>
      </w:r>
      <w:hyperlink r:id="rId42" w:history="1">
        <w:r w:rsidRPr="003B2AE1">
          <w:rPr>
            <w:rStyle w:val="Hyperlink"/>
            <w:rFonts w:ascii="Merriweather Light" w:hAnsi="Merriweather Light" w:cstheme="minorHAnsi"/>
            <w:sz w:val="20"/>
            <w:szCs w:val="20"/>
          </w:rPr>
          <w:t>https://doi.org/10.1108/PR-05-2017-0165</w:t>
        </w:r>
      </w:hyperlink>
    </w:p>
    <w:p w14:paraId="6F4C447E"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67" w:name="Lodhia"/>
      <w:proofErr w:type="spellStart"/>
      <w:r w:rsidRPr="003E228E">
        <w:rPr>
          <w:rFonts w:ascii="Merriweather Light" w:hAnsi="Merriweather Light" w:cstheme="minorHAnsi"/>
          <w:sz w:val="20"/>
          <w:szCs w:val="20"/>
        </w:rPr>
        <w:t>Lodhia</w:t>
      </w:r>
      <w:bookmarkEnd w:id="67"/>
      <w:proofErr w:type="spellEnd"/>
      <w:r w:rsidRPr="003E228E">
        <w:rPr>
          <w:rFonts w:ascii="Merriweather Light" w:hAnsi="Merriweather Light" w:cstheme="minorHAnsi"/>
          <w:sz w:val="20"/>
          <w:szCs w:val="20"/>
        </w:rPr>
        <w:t xml:space="preserve">, S., &amp; Mitchell, N. A. (2022). Corporate social responsibility disclosures and reputation risk management post the banking royal commission: a study of the big four banks. </w:t>
      </w:r>
      <w:r w:rsidRPr="006C2B07">
        <w:rPr>
          <w:rFonts w:ascii="Merriweather Light" w:hAnsi="Merriweather Light" w:cstheme="minorHAnsi"/>
          <w:i/>
          <w:iCs/>
          <w:sz w:val="20"/>
          <w:szCs w:val="20"/>
        </w:rPr>
        <w:t>Qualitative Research in Accounting and Management, 19</w:t>
      </w:r>
      <w:r w:rsidRPr="003E228E">
        <w:rPr>
          <w:rFonts w:ascii="Merriweather Light" w:hAnsi="Merriweather Light" w:cstheme="minorHAnsi"/>
          <w:sz w:val="20"/>
          <w:szCs w:val="20"/>
        </w:rPr>
        <w:t xml:space="preserve">(2), 162–185. </w:t>
      </w:r>
      <w:hyperlink r:id="rId43" w:history="1">
        <w:r w:rsidRPr="003B2AE1">
          <w:rPr>
            <w:rStyle w:val="Hyperlink"/>
            <w:rFonts w:ascii="Merriweather Light" w:hAnsi="Merriweather Light" w:cstheme="minorHAnsi"/>
            <w:sz w:val="20"/>
            <w:szCs w:val="20"/>
          </w:rPr>
          <w:t>https://doi.org/10.1108/QRAM-07-2020-0120</w:t>
        </w:r>
      </w:hyperlink>
    </w:p>
    <w:p w14:paraId="5BEC91C7"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68" w:name="Magnanelli"/>
      <w:proofErr w:type="spellStart"/>
      <w:r w:rsidRPr="003E228E">
        <w:rPr>
          <w:rFonts w:ascii="Merriweather Light" w:hAnsi="Merriweather Light" w:cstheme="minorHAnsi"/>
          <w:sz w:val="20"/>
          <w:szCs w:val="20"/>
        </w:rPr>
        <w:t>Magnanelli</w:t>
      </w:r>
      <w:bookmarkEnd w:id="68"/>
      <w:proofErr w:type="spellEnd"/>
      <w:r w:rsidRPr="003E228E">
        <w:rPr>
          <w:rFonts w:ascii="Merriweather Light" w:hAnsi="Merriweather Light" w:cstheme="minorHAnsi"/>
          <w:sz w:val="20"/>
          <w:szCs w:val="20"/>
        </w:rPr>
        <w:t xml:space="preserve">, B. S., &amp; </w:t>
      </w:r>
      <w:proofErr w:type="spellStart"/>
      <w:r w:rsidRPr="003E228E">
        <w:rPr>
          <w:rFonts w:ascii="Merriweather Light" w:hAnsi="Merriweather Light" w:cstheme="minorHAnsi"/>
          <w:sz w:val="20"/>
          <w:szCs w:val="20"/>
        </w:rPr>
        <w:t>Izzo</w:t>
      </w:r>
      <w:proofErr w:type="spellEnd"/>
      <w:r w:rsidRPr="003E228E">
        <w:rPr>
          <w:rFonts w:ascii="Merriweather Light" w:hAnsi="Merriweather Light" w:cstheme="minorHAnsi"/>
          <w:sz w:val="20"/>
          <w:szCs w:val="20"/>
        </w:rPr>
        <w:t xml:space="preserve">, M. F. (2017). Corporate social performance and cost of debt: The relationship. </w:t>
      </w:r>
      <w:r w:rsidRPr="006C2B07">
        <w:rPr>
          <w:rFonts w:ascii="Merriweather Light" w:hAnsi="Merriweather Light" w:cstheme="minorHAnsi"/>
          <w:i/>
          <w:iCs/>
          <w:sz w:val="20"/>
          <w:szCs w:val="20"/>
        </w:rPr>
        <w:t>Social Responsibility Journal, 13</w:t>
      </w:r>
      <w:r w:rsidRPr="003E228E">
        <w:rPr>
          <w:rFonts w:ascii="Merriweather Light" w:hAnsi="Merriweather Light" w:cstheme="minorHAnsi"/>
          <w:sz w:val="20"/>
          <w:szCs w:val="20"/>
        </w:rPr>
        <w:t xml:space="preserve">(2), 250–265. </w:t>
      </w:r>
      <w:hyperlink r:id="rId44" w:history="1">
        <w:r w:rsidRPr="003B2AE1">
          <w:rPr>
            <w:rStyle w:val="Hyperlink"/>
            <w:rFonts w:ascii="Merriweather Light" w:hAnsi="Merriweather Light" w:cstheme="minorHAnsi"/>
            <w:sz w:val="20"/>
            <w:szCs w:val="20"/>
          </w:rPr>
          <w:t>https://doi.org/10.1108/SRJ-06-2016-0103</w:t>
        </w:r>
      </w:hyperlink>
    </w:p>
    <w:p w14:paraId="1DA170D0"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69" w:name="Mickelsson"/>
      <w:proofErr w:type="spellStart"/>
      <w:r w:rsidRPr="003E228E">
        <w:rPr>
          <w:rFonts w:ascii="Merriweather Light" w:hAnsi="Merriweather Light" w:cstheme="minorHAnsi"/>
          <w:sz w:val="20"/>
          <w:szCs w:val="20"/>
        </w:rPr>
        <w:t>Mickelsson</w:t>
      </w:r>
      <w:bookmarkEnd w:id="69"/>
      <w:proofErr w:type="spellEnd"/>
      <w:r w:rsidRPr="003E228E">
        <w:rPr>
          <w:rFonts w:ascii="Merriweather Light" w:hAnsi="Merriweather Light" w:cstheme="minorHAnsi"/>
          <w:sz w:val="20"/>
          <w:szCs w:val="20"/>
        </w:rPr>
        <w:t xml:space="preserve">, J., van </w:t>
      </w:r>
      <w:proofErr w:type="spellStart"/>
      <w:r w:rsidRPr="003E228E">
        <w:rPr>
          <w:rFonts w:ascii="Merriweather Light" w:hAnsi="Merriweather Light" w:cstheme="minorHAnsi"/>
          <w:sz w:val="20"/>
          <w:szCs w:val="20"/>
        </w:rPr>
        <w:t>Haren</w:t>
      </w:r>
      <w:proofErr w:type="spellEnd"/>
      <w:r w:rsidRPr="003E228E">
        <w:rPr>
          <w:rFonts w:ascii="Merriweather Light" w:hAnsi="Merriweather Light" w:cstheme="minorHAnsi"/>
          <w:sz w:val="20"/>
          <w:szCs w:val="20"/>
        </w:rPr>
        <w:t xml:space="preserve">, J. J. G. M., &amp; </w:t>
      </w:r>
      <w:proofErr w:type="spellStart"/>
      <w:r w:rsidRPr="003E228E">
        <w:rPr>
          <w:rFonts w:ascii="Merriweather Light" w:hAnsi="Merriweather Light" w:cstheme="minorHAnsi"/>
          <w:sz w:val="20"/>
          <w:szCs w:val="20"/>
        </w:rPr>
        <w:t>Lemmink</w:t>
      </w:r>
      <w:proofErr w:type="spellEnd"/>
      <w:r w:rsidRPr="003E228E">
        <w:rPr>
          <w:rFonts w:ascii="Merriweather Light" w:hAnsi="Merriweather Light" w:cstheme="minorHAnsi"/>
          <w:sz w:val="20"/>
          <w:szCs w:val="20"/>
        </w:rPr>
        <w:t xml:space="preserve">, J. G. A. M. (2022). Wrinkles in a CSR story: mismatched agendas in fast fashion service brands’ CSR reputation. </w:t>
      </w:r>
      <w:r w:rsidRPr="006C2B07">
        <w:rPr>
          <w:rFonts w:ascii="Merriweather Light" w:hAnsi="Merriweather Light" w:cstheme="minorHAnsi"/>
          <w:i/>
          <w:iCs/>
          <w:sz w:val="20"/>
          <w:szCs w:val="20"/>
        </w:rPr>
        <w:t xml:space="preserve">Journal of Service Management. </w:t>
      </w:r>
      <w:hyperlink r:id="rId45" w:history="1">
        <w:r w:rsidRPr="003B2AE1">
          <w:rPr>
            <w:rStyle w:val="Hyperlink"/>
            <w:rFonts w:ascii="Merriweather Light" w:hAnsi="Merriweather Light" w:cstheme="minorHAnsi"/>
            <w:sz w:val="20"/>
            <w:szCs w:val="20"/>
          </w:rPr>
          <w:t>https://doi.org/10.1108/JOSM-07-2021-0243</w:t>
        </w:r>
      </w:hyperlink>
    </w:p>
    <w:p w14:paraId="55719628"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70" w:name="Mogaji"/>
      <w:proofErr w:type="spellStart"/>
      <w:r w:rsidRPr="003E228E">
        <w:rPr>
          <w:rFonts w:ascii="Merriweather Light" w:hAnsi="Merriweather Light" w:cstheme="minorHAnsi"/>
          <w:sz w:val="20"/>
          <w:szCs w:val="20"/>
        </w:rPr>
        <w:t>Mogaji</w:t>
      </w:r>
      <w:bookmarkEnd w:id="70"/>
      <w:proofErr w:type="spellEnd"/>
      <w:r w:rsidRPr="003E228E">
        <w:rPr>
          <w:rFonts w:ascii="Merriweather Light" w:hAnsi="Merriweather Light" w:cstheme="minorHAnsi"/>
          <w:sz w:val="20"/>
          <w:szCs w:val="20"/>
        </w:rPr>
        <w:t xml:space="preserve">, E., Hinson, R. E., </w:t>
      </w:r>
      <w:proofErr w:type="spellStart"/>
      <w:r w:rsidRPr="003E228E">
        <w:rPr>
          <w:rFonts w:ascii="Merriweather Light" w:hAnsi="Merriweather Light" w:cstheme="minorHAnsi"/>
          <w:sz w:val="20"/>
          <w:szCs w:val="20"/>
        </w:rPr>
        <w:t>Nwoba</w:t>
      </w:r>
      <w:proofErr w:type="spellEnd"/>
      <w:r w:rsidRPr="003E228E">
        <w:rPr>
          <w:rFonts w:ascii="Merriweather Light" w:hAnsi="Merriweather Light" w:cstheme="minorHAnsi"/>
          <w:sz w:val="20"/>
          <w:szCs w:val="20"/>
        </w:rPr>
        <w:t>, A. C., &amp; Nguyen, N. P. (2020). Corporate social responsibility for women’s empowerment: a study on Nigerian banks.</w:t>
      </w:r>
      <w:r w:rsidRPr="006C2B07">
        <w:rPr>
          <w:rFonts w:ascii="Merriweather Light" w:hAnsi="Merriweather Light" w:cstheme="minorHAnsi"/>
          <w:i/>
          <w:iCs/>
          <w:sz w:val="20"/>
          <w:szCs w:val="20"/>
        </w:rPr>
        <w:t xml:space="preserve"> International Journal of Bank Marketing, 39</w:t>
      </w:r>
      <w:r w:rsidRPr="003E228E">
        <w:rPr>
          <w:rFonts w:ascii="Merriweather Light" w:hAnsi="Merriweather Light" w:cstheme="minorHAnsi"/>
          <w:sz w:val="20"/>
          <w:szCs w:val="20"/>
        </w:rPr>
        <w:t xml:space="preserve">(4), 516–540. </w:t>
      </w:r>
      <w:hyperlink r:id="rId46" w:history="1">
        <w:r w:rsidRPr="003B2AE1">
          <w:rPr>
            <w:rStyle w:val="Hyperlink"/>
            <w:rFonts w:ascii="Merriweather Light" w:hAnsi="Merriweather Light" w:cstheme="minorHAnsi"/>
            <w:sz w:val="20"/>
            <w:szCs w:val="20"/>
          </w:rPr>
          <w:t>https://doi.org/10.1108/IJBM-04-2020-0195</w:t>
        </w:r>
      </w:hyperlink>
    </w:p>
    <w:p w14:paraId="019A5806"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71" w:name="Pérez"/>
      <w:r w:rsidRPr="003E228E">
        <w:rPr>
          <w:rFonts w:ascii="Merriweather Light" w:hAnsi="Merriweather Light" w:cstheme="minorHAnsi"/>
          <w:sz w:val="20"/>
          <w:szCs w:val="20"/>
        </w:rPr>
        <w:t>Pérez</w:t>
      </w:r>
      <w:bookmarkEnd w:id="71"/>
      <w:r w:rsidRPr="003E228E">
        <w:rPr>
          <w:rFonts w:ascii="Merriweather Light" w:hAnsi="Merriweather Light" w:cstheme="minorHAnsi"/>
          <w:sz w:val="20"/>
          <w:szCs w:val="20"/>
        </w:rPr>
        <w:t xml:space="preserve">, A., </w:t>
      </w:r>
      <w:proofErr w:type="spellStart"/>
      <w:r w:rsidRPr="003E228E">
        <w:rPr>
          <w:rFonts w:ascii="Merriweather Light" w:hAnsi="Merriweather Light" w:cstheme="minorHAnsi"/>
          <w:sz w:val="20"/>
          <w:szCs w:val="20"/>
        </w:rPr>
        <w:t>López</w:t>
      </w:r>
      <w:proofErr w:type="spellEnd"/>
      <w:r w:rsidRPr="003E228E">
        <w:rPr>
          <w:rFonts w:ascii="Merriweather Light" w:hAnsi="Merriweather Light" w:cstheme="minorHAnsi"/>
          <w:sz w:val="20"/>
          <w:szCs w:val="20"/>
        </w:rPr>
        <w:t xml:space="preserve">, C., &amp; </w:t>
      </w:r>
      <w:proofErr w:type="spellStart"/>
      <w:r w:rsidRPr="003E228E">
        <w:rPr>
          <w:rFonts w:ascii="Merriweather Light" w:hAnsi="Merriweather Light" w:cstheme="minorHAnsi"/>
          <w:sz w:val="20"/>
          <w:szCs w:val="20"/>
        </w:rPr>
        <w:t>García</w:t>
      </w:r>
      <w:proofErr w:type="spellEnd"/>
      <w:r w:rsidRPr="003E228E">
        <w:rPr>
          <w:rFonts w:ascii="Merriweather Light" w:hAnsi="Merriweather Light" w:cstheme="minorHAnsi"/>
          <w:sz w:val="20"/>
          <w:szCs w:val="20"/>
        </w:rPr>
        <w:t xml:space="preserve">-De </w:t>
      </w:r>
      <w:proofErr w:type="spellStart"/>
      <w:r w:rsidRPr="003E228E">
        <w:rPr>
          <w:rFonts w:ascii="Merriweather Light" w:hAnsi="Merriweather Light" w:cstheme="minorHAnsi"/>
          <w:sz w:val="20"/>
          <w:szCs w:val="20"/>
        </w:rPr>
        <w:t>los</w:t>
      </w:r>
      <w:proofErr w:type="spellEnd"/>
      <w:r w:rsidRPr="003E228E">
        <w:rPr>
          <w:rFonts w:ascii="Merriweather Light" w:hAnsi="Merriweather Light" w:cstheme="minorHAnsi"/>
          <w:sz w:val="20"/>
          <w:szCs w:val="20"/>
        </w:rPr>
        <w:t xml:space="preserve"> </w:t>
      </w:r>
      <w:proofErr w:type="spellStart"/>
      <w:r w:rsidRPr="003E228E">
        <w:rPr>
          <w:rFonts w:ascii="Merriweather Light" w:hAnsi="Merriweather Light" w:cstheme="minorHAnsi"/>
          <w:sz w:val="20"/>
          <w:szCs w:val="20"/>
        </w:rPr>
        <w:t>Salmones</w:t>
      </w:r>
      <w:proofErr w:type="spellEnd"/>
      <w:r w:rsidRPr="003E228E">
        <w:rPr>
          <w:rFonts w:ascii="Merriweather Light" w:hAnsi="Merriweather Light" w:cstheme="minorHAnsi"/>
          <w:sz w:val="20"/>
          <w:szCs w:val="20"/>
        </w:rPr>
        <w:t xml:space="preserve">, M. </w:t>
      </w:r>
      <w:proofErr w:type="gramStart"/>
      <w:r w:rsidRPr="003E228E">
        <w:rPr>
          <w:rFonts w:ascii="Merriweather Light" w:hAnsi="Merriweather Light" w:cstheme="minorHAnsi"/>
          <w:sz w:val="20"/>
          <w:szCs w:val="20"/>
        </w:rPr>
        <w:t>del</w:t>
      </w:r>
      <w:proofErr w:type="gramEnd"/>
      <w:r w:rsidRPr="003E228E">
        <w:rPr>
          <w:rFonts w:ascii="Merriweather Light" w:hAnsi="Merriweather Light" w:cstheme="minorHAnsi"/>
          <w:sz w:val="20"/>
          <w:szCs w:val="20"/>
        </w:rPr>
        <w:t xml:space="preserve"> M. (2017). An empirical exploration of the link between reporting to stakeholders and corporate social responsibility reputation in the Spanish context. </w:t>
      </w:r>
      <w:r w:rsidRPr="00826DF9">
        <w:rPr>
          <w:rFonts w:ascii="Merriweather Light" w:hAnsi="Merriweather Light" w:cstheme="minorHAnsi"/>
          <w:i/>
          <w:iCs/>
          <w:sz w:val="20"/>
          <w:szCs w:val="20"/>
        </w:rPr>
        <w:t>Accounting, Auditing and Accountability Journal, 30</w:t>
      </w:r>
      <w:r w:rsidRPr="003E228E">
        <w:rPr>
          <w:rFonts w:ascii="Merriweather Light" w:hAnsi="Merriweather Light" w:cstheme="minorHAnsi"/>
          <w:sz w:val="20"/>
          <w:szCs w:val="20"/>
        </w:rPr>
        <w:t xml:space="preserve">(3), 668–698. </w:t>
      </w:r>
      <w:hyperlink r:id="rId47" w:history="1">
        <w:r w:rsidRPr="003B2AE1">
          <w:rPr>
            <w:rStyle w:val="Hyperlink"/>
            <w:rFonts w:ascii="Merriweather Light" w:hAnsi="Merriweather Light" w:cstheme="minorHAnsi"/>
            <w:sz w:val="20"/>
            <w:szCs w:val="20"/>
          </w:rPr>
          <w:t>https://doi.org/10.1108/AAAJ-11-2013-1526</w:t>
        </w:r>
      </w:hyperlink>
    </w:p>
    <w:p w14:paraId="192F8957"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72" w:name="Podrecca"/>
      <w:proofErr w:type="spellStart"/>
      <w:r w:rsidRPr="003E228E">
        <w:rPr>
          <w:rFonts w:ascii="Merriweather Light" w:hAnsi="Merriweather Light" w:cstheme="minorHAnsi"/>
          <w:sz w:val="20"/>
          <w:szCs w:val="20"/>
        </w:rPr>
        <w:t>Podrecca</w:t>
      </w:r>
      <w:bookmarkEnd w:id="72"/>
      <w:proofErr w:type="spellEnd"/>
      <w:r w:rsidRPr="003E228E">
        <w:rPr>
          <w:rFonts w:ascii="Merriweather Light" w:hAnsi="Merriweather Light" w:cstheme="minorHAnsi"/>
          <w:sz w:val="20"/>
          <w:szCs w:val="20"/>
        </w:rPr>
        <w:t xml:space="preserve">, M., </w:t>
      </w:r>
      <w:proofErr w:type="spellStart"/>
      <w:r w:rsidRPr="003E228E">
        <w:rPr>
          <w:rFonts w:ascii="Merriweather Light" w:hAnsi="Merriweather Light" w:cstheme="minorHAnsi"/>
          <w:sz w:val="20"/>
          <w:szCs w:val="20"/>
        </w:rPr>
        <w:t>Orzes</w:t>
      </w:r>
      <w:proofErr w:type="spellEnd"/>
      <w:r w:rsidRPr="003E228E">
        <w:rPr>
          <w:rFonts w:ascii="Merriweather Light" w:hAnsi="Merriweather Light" w:cstheme="minorHAnsi"/>
          <w:sz w:val="20"/>
          <w:szCs w:val="20"/>
        </w:rPr>
        <w:t xml:space="preserve">, G., Sartor, M., &amp; </w:t>
      </w:r>
      <w:proofErr w:type="spellStart"/>
      <w:r w:rsidRPr="003E228E">
        <w:rPr>
          <w:rFonts w:ascii="Merriweather Light" w:hAnsi="Merriweather Light" w:cstheme="minorHAnsi"/>
          <w:sz w:val="20"/>
          <w:szCs w:val="20"/>
        </w:rPr>
        <w:t>Nassimbeni</w:t>
      </w:r>
      <w:proofErr w:type="spellEnd"/>
      <w:r w:rsidRPr="003E228E">
        <w:rPr>
          <w:rFonts w:ascii="Merriweather Light" w:hAnsi="Merriweather Light" w:cstheme="minorHAnsi"/>
          <w:sz w:val="20"/>
          <w:szCs w:val="20"/>
        </w:rPr>
        <w:t xml:space="preserve">, G. (2021). The impact of abandoning social responsibility certifications: evidence from the decertification of SA8000 standard. </w:t>
      </w:r>
      <w:r w:rsidRPr="00826DF9">
        <w:rPr>
          <w:rFonts w:ascii="Merriweather Light" w:hAnsi="Merriweather Light" w:cstheme="minorHAnsi"/>
          <w:i/>
          <w:iCs/>
          <w:sz w:val="20"/>
          <w:szCs w:val="20"/>
        </w:rPr>
        <w:t>International Journal of Operations and Production Management, 41</w:t>
      </w:r>
      <w:r w:rsidRPr="003E228E">
        <w:rPr>
          <w:rFonts w:ascii="Merriweather Light" w:hAnsi="Merriweather Light" w:cstheme="minorHAnsi"/>
          <w:sz w:val="20"/>
          <w:szCs w:val="20"/>
        </w:rPr>
        <w:t xml:space="preserve">(13), 100–126. </w:t>
      </w:r>
      <w:hyperlink r:id="rId48" w:history="1">
        <w:r w:rsidRPr="003B2AE1">
          <w:rPr>
            <w:rStyle w:val="Hyperlink"/>
            <w:rFonts w:ascii="Merriweather Light" w:hAnsi="Merriweather Light" w:cstheme="minorHAnsi"/>
            <w:sz w:val="20"/>
            <w:szCs w:val="20"/>
          </w:rPr>
          <w:t>https://doi.org/10.1108/IJOPM-10-2020-0698</w:t>
        </w:r>
      </w:hyperlink>
    </w:p>
    <w:p w14:paraId="4FB49A0F"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73" w:name="Raimi"/>
      <w:r w:rsidRPr="003E228E">
        <w:rPr>
          <w:rFonts w:ascii="Merriweather Light" w:hAnsi="Merriweather Light" w:cstheme="minorHAnsi"/>
          <w:sz w:val="20"/>
          <w:szCs w:val="20"/>
        </w:rPr>
        <w:t>Raimi</w:t>
      </w:r>
      <w:bookmarkEnd w:id="73"/>
      <w:r w:rsidRPr="003E228E">
        <w:rPr>
          <w:rFonts w:ascii="Merriweather Light" w:hAnsi="Merriweather Light" w:cstheme="minorHAnsi"/>
          <w:sz w:val="20"/>
          <w:szCs w:val="20"/>
        </w:rPr>
        <w:t xml:space="preserve">, L. (2017). Understanding theories of corporate social responsibility in the </w:t>
      </w:r>
      <w:proofErr w:type="spellStart"/>
      <w:r w:rsidRPr="003E228E">
        <w:rPr>
          <w:rFonts w:ascii="Merriweather Light" w:hAnsi="Merriweather Light" w:cstheme="minorHAnsi"/>
          <w:sz w:val="20"/>
          <w:szCs w:val="20"/>
        </w:rPr>
        <w:t>Ibero</w:t>
      </w:r>
      <w:proofErr w:type="spellEnd"/>
      <w:r w:rsidRPr="003E228E">
        <w:rPr>
          <w:rFonts w:ascii="Merriweather Light" w:hAnsi="Merriweather Light" w:cstheme="minorHAnsi"/>
          <w:sz w:val="20"/>
          <w:szCs w:val="20"/>
        </w:rPr>
        <w:t xml:space="preserve">-American hospitality industry. </w:t>
      </w:r>
      <w:r w:rsidRPr="009A3057">
        <w:rPr>
          <w:rFonts w:ascii="Merriweather Light" w:hAnsi="Merriweather Light" w:cstheme="minorHAnsi"/>
          <w:i/>
          <w:iCs/>
          <w:sz w:val="20"/>
          <w:szCs w:val="20"/>
        </w:rPr>
        <w:t>Developments in Corporate Governance and Responsibility, 11</w:t>
      </w:r>
      <w:r w:rsidRPr="003E228E">
        <w:rPr>
          <w:rFonts w:ascii="Merriweather Light" w:hAnsi="Merriweather Light" w:cstheme="minorHAnsi"/>
          <w:sz w:val="20"/>
          <w:szCs w:val="20"/>
        </w:rPr>
        <w:t xml:space="preserve">, 65–88. </w:t>
      </w:r>
      <w:hyperlink r:id="rId49" w:history="1">
        <w:r w:rsidRPr="003B2AE1">
          <w:rPr>
            <w:rStyle w:val="Hyperlink"/>
            <w:rFonts w:ascii="Merriweather Light" w:hAnsi="Merriweather Light" w:cstheme="minorHAnsi"/>
            <w:sz w:val="20"/>
            <w:szCs w:val="20"/>
          </w:rPr>
          <w:t>https://doi.org/10.1108/S2043-052320170000011004</w:t>
        </w:r>
      </w:hyperlink>
    </w:p>
    <w:p w14:paraId="5E87136B"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74" w:name="Roşca"/>
      <w:proofErr w:type="spellStart"/>
      <w:r w:rsidRPr="003E228E">
        <w:rPr>
          <w:rFonts w:ascii="Merriweather Light" w:hAnsi="Merriweather Light" w:cstheme="minorHAnsi"/>
          <w:sz w:val="20"/>
          <w:szCs w:val="20"/>
        </w:rPr>
        <w:t>Roşca</w:t>
      </w:r>
      <w:bookmarkEnd w:id="74"/>
      <w:proofErr w:type="spellEnd"/>
      <w:r w:rsidRPr="003E228E">
        <w:rPr>
          <w:rFonts w:ascii="Merriweather Light" w:hAnsi="Merriweather Light" w:cstheme="minorHAnsi"/>
          <w:sz w:val="20"/>
          <w:szCs w:val="20"/>
        </w:rPr>
        <w:t xml:space="preserve">, M. I., </w:t>
      </w:r>
      <w:proofErr w:type="spellStart"/>
      <w:r w:rsidRPr="003E228E">
        <w:rPr>
          <w:rFonts w:ascii="Merriweather Light" w:hAnsi="Merriweather Light" w:cstheme="minorHAnsi"/>
          <w:sz w:val="20"/>
          <w:szCs w:val="20"/>
        </w:rPr>
        <w:t>Sarəu</w:t>
      </w:r>
      <w:proofErr w:type="spellEnd"/>
      <w:r w:rsidRPr="003E228E">
        <w:rPr>
          <w:rFonts w:ascii="Merriweather Light" w:hAnsi="Merriweather Light" w:cstheme="minorHAnsi"/>
          <w:sz w:val="20"/>
          <w:szCs w:val="20"/>
        </w:rPr>
        <w:t xml:space="preserve">, A. C., &amp; </w:t>
      </w:r>
      <w:proofErr w:type="spellStart"/>
      <w:r w:rsidRPr="003E228E">
        <w:rPr>
          <w:rFonts w:ascii="Merriweather Light" w:hAnsi="Merriweather Light" w:cstheme="minorHAnsi"/>
          <w:sz w:val="20"/>
          <w:szCs w:val="20"/>
        </w:rPr>
        <w:t>Vonţea</w:t>
      </w:r>
      <w:proofErr w:type="spellEnd"/>
      <w:r w:rsidRPr="003E228E">
        <w:rPr>
          <w:rFonts w:ascii="Merriweather Light" w:hAnsi="Merriweather Light" w:cstheme="minorHAnsi"/>
          <w:sz w:val="20"/>
          <w:szCs w:val="20"/>
        </w:rPr>
        <w:t xml:space="preserve">, A. A. (2015). Classifying social causes derived from the communication of </w:t>
      </w:r>
      <w:proofErr w:type="spellStart"/>
      <w:r w:rsidRPr="003E228E">
        <w:rPr>
          <w:rFonts w:ascii="Merriweather Light" w:hAnsi="Merriweather Light" w:cstheme="minorHAnsi"/>
          <w:sz w:val="20"/>
          <w:szCs w:val="20"/>
        </w:rPr>
        <w:t>csr</w:t>
      </w:r>
      <w:proofErr w:type="spellEnd"/>
      <w:r w:rsidRPr="003E228E">
        <w:rPr>
          <w:rFonts w:ascii="Merriweather Light" w:hAnsi="Merriweather Light" w:cstheme="minorHAnsi"/>
          <w:sz w:val="20"/>
          <w:szCs w:val="20"/>
        </w:rPr>
        <w:t xml:space="preserve"> initiatives online: A theoretical and practical approach. </w:t>
      </w:r>
      <w:r w:rsidRPr="00CC74BC">
        <w:rPr>
          <w:rFonts w:ascii="Merriweather Light" w:hAnsi="Merriweather Light" w:cstheme="minorHAnsi"/>
          <w:i/>
          <w:iCs/>
          <w:sz w:val="20"/>
          <w:szCs w:val="20"/>
        </w:rPr>
        <w:t>Developments in Corporate Governance and Responsibility, 7</w:t>
      </w:r>
      <w:r w:rsidRPr="003E228E">
        <w:rPr>
          <w:rFonts w:ascii="Merriweather Light" w:hAnsi="Merriweather Light" w:cstheme="minorHAnsi"/>
          <w:sz w:val="20"/>
          <w:szCs w:val="20"/>
        </w:rPr>
        <w:t xml:space="preserve">, 63–83. </w:t>
      </w:r>
      <w:hyperlink r:id="rId50" w:history="1">
        <w:r w:rsidRPr="003B2AE1">
          <w:rPr>
            <w:rStyle w:val="Hyperlink"/>
            <w:rFonts w:ascii="Merriweather Light" w:hAnsi="Merriweather Light" w:cstheme="minorHAnsi"/>
            <w:sz w:val="20"/>
            <w:szCs w:val="20"/>
          </w:rPr>
          <w:t>https://doi.org/10.1108/S2043-052320150000007006</w:t>
        </w:r>
      </w:hyperlink>
    </w:p>
    <w:p w14:paraId="7F00C97B"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75" w:name="Sharma"/>
      <w:r w:rsidRPr="003E228E">
        <w:rPr>
          <w:rFonts w:ascii="Merriweather Light" w:hAnsi="Merriweather Light" w:cstheme="minorHAnsi"/>
          <w:sz w:val="20"/>
          <w:szCs w:val="20"/>
        </w:rPr>
        <w:t>Sharma</w:t>
      </w:r>
      <w:bookmarkEnd w:id="75"/>
      <w:r w:rsidRPr="003E228E">
        <w:rPr>
          <w:rFonts w:ascii="Merriweather Light" w:hAnsi="Merriweather Light" w:cstheme="minorHAnsi"/>
          <w:sz w:val="20"/>
          <w:szCs w:val="20"/>
        </w:rPr>
        <w:t xml:space="preserve">, A., Borah, S. B., </w:t>
      </w:r>
      <w:proofErr w:type="spellStart"/>
      <w:r w:rsidRPr="003E228E">
        <w:rPr>
          <w:rFonts w:ascii="Merriweather Light" w:hAnsi="Merriweather Light" w:cstheme="minorHAnsi"/>
          <w:sz w:val="20"/>
          <w:szCs w:val="20"/>
        </w:rPr>
        <w:t>Adhikary</w:t>
      </w:r>
      <w:proofErr w:type="spellEnd"/>
      <w:r w:rsidRPr="003E228E">
        <w:rPr>
          <w:rFonts w:ascii="Merriweather Light" w:hAnsi="Merriweather Light" w:cstheme="minorHAnsi"/>
          <w:sz w:val="20"/>
          <w:szCs w:val="20"/>
        </w:rPr>
        <w:t xml:space="preserve">, A., &amp; </w:t>
      </w:r>
      <w:proofErr w:type="spellStart"/>
      <w:r w:rsidRPr="003E228E">
        <w:rPr>
          <w:rFonts w:ascii="Merriweather Light" w:hAnsi="Merriweather Light" w:cstheme="minorHAnsi"/>
          <w:sz w:val="20"/>
          <w:szCs w:val="20"/>
        </w:rPr>
        <w:t>Haque</w:t>
      </w:r>
      <w:proofErr w:type="spellEnd"/>
      <w:r w:rsidRPr="003E228E">
        <w:rPr>
          <w:rFonts w:ascii="Merriweather Light" w:hAnsi="Merriweather Light" w:cstheme="minorHAnsi"/>
          <w:sz w:val="20"/>
          <w:szCs w:val="20"/>
        </w:rPr>
        <w:t xml:space="preserve">, T. (2021). Accountability beyond profitability: Understanding the impact of marketing actions on environmental and social performance. </w:t>
      </w:r>
      <w:r w:rsidRPr="001408CE">
        <w:rPr>
          <w:rFonts w:ascii="Merriweather Light" w:hAnsi="Merriweather Light" w:cstheme="minorHAnsi"/>
          <w:i/>
          <w:iCs/>
          <w:sz w:val="20"/>
          <w:szCs w:val="20"/>
        </w:rPr>
        <w:t>Review of Marketing Research, 18</w:t>
      </w:r>
      <w:r w:rsidRPr="003E228E">
        <w:rPr>
          <w:rFonts w:ascii="Merriweather Light" w:hAnsi="Merriweather Light" w:cstheme="minorHAnsi"/>
          <w:sz w:val="20"/>
          <w:szCs w:val="20"/>
        </w:rPr>
        <w:t xml:space="preserve">, 193–232. </w:t>
      </w:r>
      <w:hyperlink r:id="rId51" w:history="1">
        <w:r w:rsidRPr="003B2AE1">
          <w:rPr>
            <w:rStyle w:val="Hyperlink"/>
            <w:rFonts w:ascii="Merriweather Light" w:hAnsi="Merriweather Light" w:cstheme="minorHAnsi"/>
            <w:sz w:val="20"/>
            <w:szCs w:val="20"/>
          </w:rPr>
          <w:t>https://doi.org/10.1108/S1548-643520210000018008</w:t>
        </w:r>
      </w:hyperlink>
    </w:p>
    <w:p w14:paraId="5C3E7D2D" w14:textId="77777777" w:rsidR="00BB1535" w:rsidRDefault="00BB1535" w:rsidP="003E228E">
      <w:pPr>
        <w:spacing w:after="60" w:line="276" w:lineRule="auto"/>
        <w:ind w:left="360" w:hanging="360"/>
        <w:jc w:val="both"/>
        <w:rPr>
          <w:rFonts w:ascii="Merriweather Light" w:hAnsi="Merriweather Light" w:cstheme="minorHAnsi"/>
          <w:sz w:val="20"/>
          <w:szCs w:val="20"/>
        </w:rPr>
      </w:pPr>
      <w:r w:rsidRPr="003E228E">
        <w:rPr>
          <w:rFonts w:ascii="Merriweather Light" w:hAnsi="Merriweather Light" w:cstheme="minorHAnsi"/>
          <w:sz w:val="20"/>
          <w:szCs w:val="20"/>
        </w:rPr>
        <w:t xml:space="preserve">Sharma, D., &amp; </w:t>
      </w:r>
      <w:proofErr w:type="spellStart"/>
      <w:r w:rsidRPr="003E228E">
        <w:rPr>
          <w:rFonts w:ascii="Merriweather Light" w:hAnsi="Merriweather Light" w:cstheme="minorHAnsi"/>
          <w:sz w:val="20"/>
          <w:szCs w:val="20"/>
        </w:rPr>
        <w:t>Khandelwal</w:t>
      </w:r>
      <w:proofErr w:type="spellEnd"/>
      <w:r w:rsidRPr="003E228E">
        <w:rPr>
          <w:rFonts w:ascii="Merriweather Light" w:hAnsi="Merriweather Light" w:cstheme="minorHAnsi"/>
          <w:sz w:val="20"/>
          <w:szCs w:val="20"/>
        </w:rPr>
        <w:t>, S. (2021). Sentiments analysis</w:t>
      </w:r>
      <w:r w:rsidRPr="003E228E">
        <w:rPr>
          <w:sz w:val="20"/>
          <w:szCs w:val="20"/>
        </w:rPr>
        <w:t> </w:t>
      </w:r>
      <w:r w:rsidRPr="003E228E">
        <w:rPr>
          <w:rFonts w:ascii="Merriweather Light" w:hAnsi="Merriweather Light" w:cstheme="minorHAnsi"/>
          <w:sz w:val="20"/>
          <w:szCs w:val="20"/>
        </w:rPr>
        <w:t xml:space="preserve">: Recitation of the concealed emotions of professionals during COVID-19. </w:t>
      </w:r>
      <w:r w:rsidRPr="00AE50A0">
        <w:rPr>
          <w:rFonts w:ascii="Merriweather Light" w:hAnsi="Merriweather Light" w:cstheme="minorHAnsi"/>
          <w:i/>
          <w:iCs/>
          <w:sz w:val="20"/>
          <w:szCs w:val="20"/>
        </w:rPr>
        <w:t>Journal of Statistics and Management Systems, 24</w:t>
      </w:r>
      <w:r w:rsidRPr="003E228E">
        <w:rPr>
          <w:rFonts w:ascii="Merriweather Light" w:hAnsi="Merriweather Light" w:cstheme="minorHAnsi"/>
          <w:sz w:val="20"/>
          <w:szCs w:val="20"/>
        </w:rPr>
        <w:t xml:space="preserve">(1), 147–161. </w:t>
      </w:r>
      <w:hyperlink r:id="rId52" w:history="1">
        <w:r w:rsidRPr="003B2AE1">
          <w:rPr>
            <w:rStyle w:val="Hyperlink"/>
            <w:rFonts w:ascii="Merriweather Light" w:hAnsi="Merriweather Light" w:cstheme="minorHAnsi"/>
            <w:sz w:val="20"/>
            <w:szCs w:val="20"/>
          </w:rPr>
          <w:t>https://doi.org/10.1080/09720510.2020.1833464</w:t>
        </w:r>
      </w:hyperlink>
    </w:p>
    <w:p w14:paraId="64550D2C" w14:textId="77777777" w:rsidR="00BB1535" w:rsidRDefault="00BB1535" w:rsidP="003E228E">
      <w:pPr>
        <w:spacing w:after="60" w:line="276" w:lineRule="auto"/>
        <w:ind w:left="360" w:hanging="360"/>
        <w:jc w:val="both"/>
        <w:rPr>
          <w:rFonts w:ascii="Merriweather Light" w:hAnsi="Merriweather Light" w:cstheme="minorHAnsi"/>
          <w:sz w:val="20"/>
          <w:szCs w:val="20"/>
        </w:rPr>
      </w:pPr>
      <w:r w:rsidRPr="003E228E">
        <w:rPr>
          <w:rFonts w:ascii="Merriweather Light" w:hAnsi="Merriweather Light" w:cstheme="minorHAnsi"/>
          <w:sz w:val="20"/>
          <w:szCs w:val="20"/>
        </w:rPr>
        <w:t xml:space="preserve">Statistics Canada. </w:t>
      </w:r>
      <w:proofErr w:type="spellStart"/>
      <w:r w:rsidRPr="003E228E">
        <w:rPr>
          <w:rFonts w:ascii="Merriweather Light" w:hAnsi="Merriweather Light" w:cstheme="minorHAnsi"/>
          <w:sz w:val="20"/>
          <w:szCs w:val="20"/>
        </w:rPr>
        <w:t>Labour</w:t>
      </w:r>
      <w:proofErr w:type="spellEnd"/>
      <w:r w:rsidRPr="003E228E">
        <w:rPr>
          <w:rFonts w:ascii="Merriweather Light" w:hAnsi="Merriweather Light" w:cstheme="minorHAnsi"/>
          <w:sz w:val="20"/>
          <w:szCs w:val="20"/>
        </w:rPr>
        <w:t xml:space="preserve"> Statistics Division. (2019). The Canadian </w:t>
      </w:r>
      <w:proofErr w:type="spellStart"/>
      <w:r w:rsidRPr="003E228E">
        <w:rPr>
          <w:rFonts w:ascii="Merriweather Light" w:hAnsi="Merriweather Light" w:cstheme="minorHAnsi"/>
          <w:sz w:val="20"/>
          <w:szCs w:val="20"/>
        </w:rPr>
        <w:t>labour</w:t>
      </w:r>
      <w:proofErr w:type="spellEnd"/>
      <w:r w:rsidRPr="003E228E">
        <w:rPr>
          <w:rFonts w:ascii="Merriweather Light" w:hAnsi="Merriweather Light" w:cstheme="minorHAnsi"/>
          <w:sz w:val="20"/>
          <w:szCs w:val="20"/>
        </w:rPr>
        <w:t xml:space="preserve"> market at a glance. Statistics Canada.</w:t>
      </w:r>
    </w:p>
    <w:p w14:paraId="2DE74B6B"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76" w:name="Trivellas"/>
      <w:proofErr w:type="spellStart"/>
      <w:r w:rsidRPr="003E228E">
        <w:rPr>
          <w:rFonts w:ascii="Merriweather Light" w:hAnsi="Merriweather Light" w:cstheme="minorHAnsi"/>
          <w:sz w:val="20"/>
          <w:szCs w:val="20"/>
        </w:rPr>
        <w:t>Trivellas</w:t>
      </w:r>
      <w:bookmarkEnd w:id="76"/>
      <w:proofErr w:type="spellEnd"/>
      <w:r w:rsidRPr="003E228E">
        <w:rPr>
          <w:rFonts w:ascii="Merriweather Light" w:hAnsi="Merriweather Light" w:cstheme="minorHAnsi"/>
          <w:sz w:val="20"/>
          <w:szCs w:val="20"/>
        </w:rPr>
        <w:t xml:space="preserve">, P., </w:t>
      </w:r>
      <w:proofErr w:type="spellStart"/>
      <w:r w:rsidRPr="003E228E">
        <w:rPr>
          <w:rFonts w:ascii="Merriweather Light" w:hAnsi="Merriweather Light" w:cstheme="minorHAnsi"/>
          <w:sz w:val="20"/>
          <w:szCs w:val="20"/>
        </w:rPr>
        <w:t>Rafailidis</w:t>
      </w:r>
      <w:proofErr w:type="spellEnd"/>
      <w:r w:rsidRPr="003E228E">
        <w:rPr>
          <w:rFonts w:ascii="Merriweather Light" w:hAnsi="Merriweather Light" w:cstheme="minorHAnsi"/>
          <w:sz w:val="20"/>
          <w:szCs w:val="20"/>
        </w:rPr>
        <w:t xml:space="preserve">, A., </w:t>
      </w:r>
      <w:proofErr w:type="spellStart"/>
      <w:r w:rsidRPr="003E228E">
        <w:rPr>
          <w:rFonts w:ascii="Merriweather Light" w:hAnsi="Merriweather Light" w:cstheme="minorHAnsi"/>
          <w:sz w:val="20"/>
          <w:szCs w:val="20"/>
        </w:rPr>
        <w:t>Polychroniou</w:t>
      </w:r>
      <w:proofErr w:type="spellEnd"/>
      <w:r w:rsidRPr="003E228E">
        <w:rPr>
          <w:rFonts w:ascii="Merriweather Light" w:hAnsi="Merriweather Light" w:cstheme="minorHAnsi"/>
          <w:sz w:val="20"/>
          <w:szCs w:val="20"/>
        </w:rPr>
        <w:t xml:space="preserve">, P., &amp; </w:t>
      </w:r>
      <w:proofErr w:type="spellStart"/>
      <w:r w:rsidRPr="003E228E">
        <w:rPr>
          <w:rFonts w:ascii="Merriweather Light" w:hAnsi="Merriweather Light" w:cstheme="minorHAnsi"/>
          <w:sz w:val="20"/>
          <w:szCs w:val="20"/>
        </w:rPr>
        <w:t>Dekoulou</w:t>
      </w:r>
      <w:proofErr w:type="spellEnd"/>
      <w:r w:rsidRPr="003E228E">
        <w:rPr>
          <w:rFonts w:ascii="Merriweather Light" w:hAnsi="Merriweather Light" w:cstheme="minorHAnsi"/>
          <w:sz w:val="20"/>
          <w:szCs w:val="20"/>
        </w:rPr>
        <w:t xml:space="preserve">, P. (2019). Corporate social responsibility (CSR) and its internal consequences on job performance: The influence of corporate ethical values. </w:t>
      </w:r>
      <w:r w:rsidRPr="002870B4">
        <w:rPr>
          <w:rFonts w:ascii="Merriweather Light" w:hAnsi="Merriweather Light" w:cstheme="minorHAnsi"/>
          <w:i/>
          <w:iCs/>
          <w:sz w:val="20"/>
          <w:szCs w:val="20"/>
        </w:rPr>
        <w:t>International Journal of Quality and Service Sciences, 11</w:t>
      </w:r>
      <w:r w:rsidRPr="003E228E">
        <w:rPr>
          <w:rFonts w:ascii="Merriweather Light" w:hAnsi="Merriweather Light" w:cstheme="minorHAnsi"/>
          <w:sz w:val="20"/>
          <w:szCs w:val="20"/>
        </w:rPr>
        <w:t xml:space="preserve">(2), 265–282. </w:t>
      </w:r>
      <w:hyperlink r:id="rId53" w:history="1">
        <w:r w:rsidRPr="003B2AE1">
          <w:rPr>
            <w:rStyle w:val="Hyperlink"/>
            <w:rFonts w:ascii="Merriweather Light" w:hAnsi="Merriweather Light" w:cstheme="minorHAnsi"/>
            <w:sz w:val="20"/>
            <w:szCs w:val="20"/>
          </w:rPr>
          <w:t>https://doi.org/10.1108/IJQSS-12-2017-0117</w:t>
        </w:r>
      </w:hyperlink>
    </w:p>
    <w:p w14:paraId="1D451A12"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77" w:name="Valentini"/>
      <w:proofErr w:type="spellStart"/>
      <w:r w:rsidRPr="003E228E">
        <w:rPr>
          <w:rFonts w:ascii="Merriweather Light" w:hAnsi="Merriweather Light" w:cstheme="minorHAnsi"/>
          <w:sz w:val="20"/>
          <w:szCs w:val="20"/>
        </w:rPr>
        <w:t>Valentini</w:t>
      </w:r>
      <w:bookmarkEnd w:id="77"/>
      <w:proofErr w:type="spellEnd"/>
      <w:r w:rsidRPr="003E228E">
        <w:rPr>
          <w:rFonts w:ascii="Merriweather Light" w:hAnsi="Merriweather Light" w:cstheme="minorHAnsi"/>
          <w:sz w:val="20"/>
          <w:szCs w:val="20"/>
        </w:rPr>
        <w:t xml:space="preserve">, C., &amp; </w:t>
      </w:r>
      <w:proofErr w:type="spellStart"/>
      <w:r w:rsidRPr="003E228E">
        <w:rPr>
          <w:rFonts w:ascii="Merriweather Light" w:hAnsi="Merriweather Light" w:cstheme="minorHAnsi"/>
          <w:sz w:val="20"/>
          <w:szCs w:val="20"/>
        </w:rPr>
        <w:t>Kruckeberg</w:t>
      </w:r>
      <w:proofErr w:type="spellEnd"/>
      <w:r w:rsidRPr="003E228E">
        <w:rPr>
          <w:rFonts w:ascii="Merriweather Light" w:hAnsi="Merriweather Light" w:cstheme="minorHAnsi"/>
          <w:sz w:val="20"/>
          <w:szCs w:val="20"/>
        </w:rPr>
        <w:t xml:space="preserve">, D. (2018). “Walking the environmental responsibility talk” in the </w:t>
      </w:r>
      <w:r w:rsidRPr="003E228E">
        <w:rPr>
          <w:rFonts w:ascii="Merriweather Light" w:hAnsi="Merriweather Light" w:cstheme="minorHAnsi"/>
          <w:sz w:val="20"/>
          <w:szCs w:val="20"/>
        </w:rPr>
        <w:lastRenderedPageBreak/>
        <w:t xml:space="preserve">automobile industry: An ethics case study of the Volkswagen environmental scandal. </w:t>
      </w:r>
      <w:r w:rsidRPr="002870B4">
        <w:rPr>
          <w:rFonts w:ascii="Merriweather Light" w:hAnsi="Merriweather Light" w:cstheme="minorHAnsi"/>
          <w:i/>
          <w:iCs/>
          <w:sz w:val="20"/>
          <w:szCs w:val="20"/>
        </w:rPr>
        <w:t>Corporate Communications, 23</w:t>
      </w:r>
      <w:r w:rsidRPr="003E228E">
        <w:rPr>
          <w:rFonts w:ascii="Merriweather Light" w:hAnsi="Merriweather Light" w:cstheme="minorHAnsi"/>
          <w:sz w:val="20"/>
          <w:szCs w:val="20"/>
        </w:rPr>
        <w:t xml:space="preserve">(4), 528–543. </w:t>
      </w:r>
      <w:hyperlink r:id="rId54" w:history="1">
        <w:r w:rsidRPr="003B2AE1">
          <w:rPr>
            <w:rStyle w:val="Hyperlink"/>
            <w:rFonts w:ascii="Merriweather Light" w:hAnsi="Merriweather Light" w:cstheme="minorHAnsi"/>
            <w:sz w:val="20"/>
            <w:szCs w:val="20"/>
          </w:rPr>
          <w:t>https://doi.org/10.1108/CCIJ-04-2018-0045</w:t>
        </w:r>
      </w:hyperlink>
    </w:p>
    <w:p w14:paraId="7F05E1FA" w14:textId="77777777" w:rsidR="00BB1535" w:rsidRDefault="00BB1535" w:rsidP="003E228E">
      <w:pPr>
        <w:spacing w:after="60" w:line="276" w:lineRule="auto"/>
        <w:ind w:left="360" w:hanging="360"/>
        <w:jc w:val="both"/>
        <w:rPr>
          <w:rFonts w:ascii="Merriweather Light" w:hAnsi="Merriweather Light" w:cstheme="minorHAnsi"/>
          <w:sz w:val="20"/>
          <w:szCs w:val="20"/>
        </w:rPr>
      </w:pPr>
      <w:bookmarkStart w:id="78" w:name="Xu"/>
      <w:r w:rsidRPr="003E228E">
        <w:rPr>
          <w:rFonts w:ascii="Merriweather Light" w:hAnsi="Merriweather Light" w:cstheme="minorHAnsi"/>
          <w:sz w:val="20"/>
          <w:szCs w:val="20"/>
        </w:rPr>
        <w:t>Xu</w:t>
      </w:r>
      <w:bookmarkEnd w:id="78"/>
      <w:r w:rsidRPr="003E228E">
        <w:rPr>
          <w:rFonts w:ascii="Merriweather Light" w:hAnsi="Merriweather Light" w:cstheme="minorHAnsi"/>
          <w:sz w:val="20"/>
          <w:szCs w:val="20"/>
        </w:rPr>
        <w:t xml:space="preserve">, L., Zhao, Y., Wang, C., &amp; </w:t>
      </w:r>
      <w:proofErr w:type="spellStart"/>
      <w:r w:rsidRPr="003E228E">
        <w:rPr>
          <w:rFonts w:ascii="Merriweather Light" w:hAnsi="Merriweather Light" w:cstheme="minorHAnsi"/>
          <w:sz w:val="20"/>
          <w:szCs w:val="20"/>
        </w:rPr>
        <w:t>Ponnapalli</w:t>
      </w:r>
      <w:proofErr w:type="spellEnd"/>
      <w:r w:rsidRPr="003E228E">
        <w:rPr>
          <w:rFonts w:ascii="Merriweather Light" w:hAnsi="Merriweather Light" w:cstheme="minorHAnsi"/>
          <w:sz w:val="20"/>
          <w:szCs w:val="20"/>
        </w:rPr>
        <w:t>, A. R. (2022). Corporate social responsibility and corporate reputation: the moderating roles of CEO and state political ideologies.</w:t>
      </w:r>
      <w:r w:rsidRPr="002870B4">
        <w:rPr>
          <w:rFonts w:ascii="Merriweather Light" w:hAnsi="Merriweather Light" w:cstheme="minorHAnsi"/>
          <w:i/>
          <w:iCs/>
          <w:sz w:val="20"/>
          <w:szCs w:val="20"/>
        </w:rPr>
        <w:t xml:space="preserve"> Social Responsibility Journal, 18</w:t>
      </w:r>
      <w:r w:rsidRPr="003E228E">
        <w:rPr>
          <w:rFonts w:ascii="Merriweather Light" w:hAnsi="Merriweather Light" w:cstheme="minorHAnsi"/>
          <w:sz w:val="20"/>
          <w:szCs w:val="20"/>
        </w:rPr>
        <w:t xml:space="preserve">(3), 501–517. </w:t>
      </w:r>
      <w:hyperlink r:id="rId55" w:history="1">
        <w:r w:rsidRPr="003B2AE1">
          <w:rPr>
            <w:rStyle w:val="Hyperlink"/>
            <w:rFonts w:ascii="Merriweather Light" w:hAnsi="Merriweather Light" w:cstheme="minorHAnsi"/>
            <w:sz w:val="20"/>
            <w:szCs w:val="20"/>
          </w:rPr>
          <w:t>https://doi.org/10.1108/SRJ-08-2020-0318</w:t>
        </w:r>
      </w:hyperlink>
    </w:p>
    <w:p w14:paraId="33B36C26" w14:textId="77777777" w:rsidR="00BB1535" w:rsidRDefault="00BB1535" w:rsidP="003E228E">
      <w:pPr>
        <w:spacing w:after="60" w:line="276" w:lineRule="auto"/>
        <w:ind w:left="360" w:hanging="360"/>
        <w:jc w:val="both"/>
        <w:rPr>
          <w:rFonts w:ascii="Merriweather Light" w:hAnsi="Merriweather Light" w:cstheme="minorHAnsi"/>
          <w:sz w:val="20"/>
          <w:szCs w:val="20"/>
        </w:rPr>
        <w:sectPr w:rsidR="00BB1535" w:rsidSect="00BB1535">
          <w:type w:val="continuous"/>
          <w:pgSz w:w="12240" w:h="15840" w:code="1"/>
          <w:pgMar w:top="1224" w:right="1080" w:bottom="1080" w:left="1080" w:header="504" w:footer="504" w:gutter="0"/>
          <w:cols w:num="2" w:space="432"/>
          <w:titlePg/>
          <w:docGrid w:linePitch="360"/>
        </w:sectPr>
      </w:pPr>
    </w:p>
    <w:p w14:paraId="5CDE6C90" w14:textId="0A0D1A37" w:rsidR="006C2B07" w:rsidRPr="003E228E" w:rsidRDefault="006C2B07" w:rsidP="003E228E">
      <w:pPr>
        <w:spacing w:after="60" w:line="276" w:lineRule="auto"/>
        <w:ind w:left="360" w:hanging="360"/>
        <w:jc w:val="both"/>
        <w:rPr>
          <w:rFonts w:ascii="Merriweather Light" w:hAnsi="Merriweather Light" w:cstheme="minorHAnsi"/>
          <w:sz w:val="20"/>
          <w:szCs w:val="20"/>
        </w:rPr>
      </w:pPr>
    </w:p>
    <w:p w14:paraId="055111F0" w14:textId="021DBD68" w:rsidR="003E228E" w:rsidRPr="003E228E" w:rsidRDefault="003E228E" w:rsidP="003E228E">
      <w:pPr>
        <w:spacing w:after="60" w:line="276" w:lineRule="auto"/>
        <w:jc w:val="both"/>
        <w:rPr>
          <w:rFonts w:ascii="Merriweather" w:hAnsi="Merriweather"/>
          <w:sz w:val="20"/>
          <w:szCs w:val="20"/>
          <w:shd w:val="clear" w:color="auto" w:fill="FFFFFF"/>
        </w:rPr>
      </w:pPr>
    </w:p>
    <w:sectPr w:rsidR="003E228E" w:rsidRPr="003E228E" w:rsidSect="004726BE">
      <w:type w:val="continuous"/>
      <w:pgSz w:w="12240" w:h="15840" w:code="1"/>
      <w:pgMar w:top="1224" w:right="1080" w:bottom="1080" w:left="1080" w:header="504" w:footer="504" w:gutter="0"/>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E5112" w14:textId="77777777" w:rsidR="00EC6A62" w:rsidRDefault="00EC6A62" w:rsidP="00281CBA">
      <w:r>
        <w:separator/>
      </w:r>
    </w:p>
  </w:endnote>
  <w:endnote w:type="continuationSeparator" w:id="0">
    <w:p w14:paraId="230191C7" w14:textId="77777777" w:rsidR="00EC6A62" w:rsidRDefault="00EC6A62" w:rsidP="00281CBA">
      <w:r>
        <w:continuationSeparator/>
      </w:r>
    </w:p>
  </w:endnote>
  <w:endnote w:type="continuationNotice" w:id="1">
    <w:p w14:paraId="2228C19D" w14:textId="77777777" w:rsidR="00EC6A62" w:rsidRDefault="00EC6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arter">
    <w:altName w:val="Samsung Sharp Sans"/>
    <w:charset w:val="00"/>
    <w:family w:val="roman"/>
    <w:pitch w:val="variable"/>
    <w:sig w:usb0="00000001" w:usb1="1000204A" w:usb2="00000000" w:usb3="00000000" w:csb0="00000011" w:csb1="00000000"/>
  </w:font>
  <w:font w:name="Merriweather Light">
    <w:altName w:val="Courier New"/>
    <w:panose1 w:val="00000400000000000000"/>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erriweather">
    <w:altName w:val="Courier New"/>
    <w:panose1 w:val="00000500000000000000"/>
    <w:charset w:val="00"/>
    <w:family w:val="auto"/>
    <w:pitch w:val="variable"/>
    <w:sig w:usb0="20000207" w:usb1="00000002" w:usb2="00000000" w:usb3="00000000" w:csb0="00000197"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11431" w14:textId="77777777" w:rsidR="00616F49" w:rsidRPr="00457994" w:rsidRDefault="00616F49" w:rsidP="009F7C5C">
    <w:pPr>
      <w:pStyle w:val="Footer"/>
      <w:rPr>
        <w:rFonts w:ascii="Merriweather Light" w:hAnsi="Merriweather Light"/>
        <w:color w:val="000000" w:themeColor="text1"/>
        <w:sz w:val="14"/>
        <w:szCs w:val="14"/>
      </w:rPr>
    </w:pPr>
  </w:p>
  <w:tbl>
    <w:tblPr>
      <w:tblW w:w="5000" w:type="pct"/>
      <w:jc w:val="right"/>
      <w:tblBorders>
        <w:top w:val="single" w:sz="4" w:space="0" w:color="011893"/>
      </w:tblBorders>
      <w:tblCellMar>
        <w:top w:w="115" w:type="dxa"/>
        <w:left w:w="115" w:type="dxa"/>
        <w:bottom w:w="115" w:type="dxa"/>
        <w:right w:w="115" w:type="dxa"/>
      </w:tblCellMar>
      <w:tblLook w:val="04A0" w:firstRow="1" w:lastRow="0" w:firstColumn="1" w:lastColumn="0" w:noHBand="0" w:noVBand="1"/>
    </w:tblPr>
    <w:tblGrid>
      <w:gridCol w:w="551"/>
      <w:gridCol w:w="9529"/>
    </w:tblGrid>
    <w:tr w:rsidR="00616F49" w:rsidRPr="001A5D3F" w14:paraId="0F04AD3B" w14:textId="77777777" w:rsidTr="005655DE">
      <w:trPr>
        <w:jc w:val="right"/>
      </w:trPr>
      <w:tc>
        <w:tcPr>
          <w:tcW w:w="540" w:type="dxa"/>
          <w:shd w:val="clear" w:color="auto" w:fill="011893"/>
          <w:vAlign w:val="center"/>
        </w:tcPr>
        <w:p w14:paraId="386068E7" w14:textId="504C511A" w:rsidR="00616F49" w:rsidRPr="001A5D3F" w:rsidRDefault="00616F49" w:rsidP="009F7C5C">
          <w:pPr>
            <w:pStyle w:val="Footer"/>
            <w:jc w:val="center"/>
            <w:rPr>
              <w:rFonts w:ascii="Merriweather Light" w:hAnsi="Merriweather Light"/>
              <w:color w:val="000000" w:themeColor="text1"/>
              <w:sz w:val="18"/>
              <w:szCs w:val="18"/>
            </w:rPr>
          </w:pPr>
          <w:r w:rsidRPr="00457994">
            <w:rPr>
              <w:rFonts w:ascii="Merriweather Light" w:hAnsi="Merriweather Light"/>
              <w:color w:val="FFFFFF" w:themeColor="background1"/>
              <w:sz w:val="18"/>
              <w:szCs w:val="18"/>
            </w:rPr>
            <w:fldChar w:fldCharType="begin"/>
          </w:r>
          <w:r w:rsidRPr="00457994">
            <w:rPr>
              <w:rFonts w:ascii="Merriweather Light" w:hAnsi="Merriweather Light"/>
              <w:color w:val="FFFFFF" w:themeColor="background1"/>
              <w:sz w:val="18"/>
              <w:szCs w:val="18"/>
            </w:rPr>
            <w:instrText xml:space="preserve"> PAGE   \* MERGEFORMAT </w:instrText>
          </w:r>
          <w:r w:rsidRPr="00457994">
            <w:rPr>
              <w:rFonts w:ascii="Merriweather Light" w:hAnsi="Merriweather Light"/>
              <w:color w:val="FFFFFF" w:themeColor="background1"/>
              <w:sz w:val="18"/>
              <w:szCs w:val="18"/>
            </w:rPr>
            <w:fldChar w:fldCharType="separate"/>
          </w:r>
          <w:r w:rsidR="00DB367D">
            <w:rPr>
              <w:rFonts w:ascii="Merriweather Light" w:hAnsi="Merriweather Light"/>
              <w:noProof/>
              <w:color w:val="FFFFFF" w:themeColor="background1"/>
              <w:sz w:val="18"/>
              <w:szCs w:val="18"/>
            </w:rPr>
            <w:t>88</w:t>
          </w:r>
          <w:r w:rsidRPr="00457994">
            <w:rPr>
              <w:rFonts w:ascii="Merriweather Light" w:hAnsi="Merriweather Light"/>
              <w:noProof/>
              <w:color w:val="FFFFFF" w:themeColor="background1"/>
              <w:sz w:val="18"/>
              <w:szCs w:val="18"/>
            </w:rPr>
            <w:fldChar w:fldCharType="end"/>
          </w:r>
        </w:p>
      </w:tc>
      <w:tc>
        <w:tcPr>
          <w:tcW w:w="9338" w:type="dxa"/>
          <w:shd w:val="clear" w:color="auto" w:fill="auto"/>
        </w:tcPr>
        <w:p w14:paraId="65A53C3C" w14:textId="2ADB9DE3" w:rsidR="00616F49" w:rsidRPr="00F61BF7" w:rsidRDefault="00616F49" w:rsidP="00F61BF7">
          <w:pPr>
            <w:rPr>
              <w:rFonts w:ascii="Merriweather Light" w:eastAsiaTheme="minorHAnsi" w:hAnsi="Merriweather Light" w:cstheme="minorBidi"/>
              <w:color w:val="000000" w:themeColor="text1"/>
              <w:sz w:val="18"/>
              <w:szCs w:val="18"/>
              <w:lang w:eastAsia="en-US"/>
            </w:rPr>
          </w:pPr>
          <w:r w:rsidRPr="00F61BF7">
            <w:rPr>
              <w:rFonts w:ascii="Merriweather Light" w:eastAsiaTheme="minorHAnsi" w:hAnsi="Merriweather Light" w:cstheme="minorBidi"/>
              <w:color w:val="000000" w:themeColor="text1"/>
              <w:sz w:val="18"/>
              <w:szCs w:val="18"/>
              <w:lang w:eastAsia="en-US"/>
            </w:rPr>
            <w:t>Journal of Social Sciences Review | Vol. 2  No. 4 (Fall 2022) | p-ISSN: 2789-441X | e-ISSN: 2789-4428</w:t>
          </w:r>
        </w:p>
      </w:tc>
    </w:tr>
  </w:tbl>
  <w:p w14:paraId="41766555" w14:textId="77777777" w:rsidR="00616F49" w:rsidRPr="009F7C5C" w:rsidRDefault="00616F49" w:rsidP="009F7C5C">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B0BBA" w14:textId="77777777" w:rsidR="00616F49" w:rsidRPr="00A17886" w:rsidRDefault="00616F49">
    <w:pPr>
      <w:pStyle w:val="Footer"/>
      <w:rPr>
        <w:sz w:val="14"/>
        <w:szCs w:val="14"/>
      </w:rPr>
    </w:pPr>
  </w:p>
  <w:tbl>
    <w:tblPr>
      <w:tblW w:w="5000" w:type="pct"/>
      <w:jc w:val="right"/>
      <w:tblBorders>
        <w:top w:val="single" w:sz="4" w:space="0" w:color="011893"/>
      </w:tblBorders>
      <w:tblCellMar>
        <w:top w:w="115" w:type="dxa"/>
        <w:left w:w="115" w:type="dxa"/>
        <w:bottom w:w="115" w:type="dxa"/>
        <w:right w:w="115" w:type="dxa"/>
      </w:tblCellMar>
      <w:tblLook w:val="04A0" w:firstRow="1" w:lastRow="0" w:firstColumn="1" w:lastColumn="0" w:noHBand="0" w:noVBand="1"/>
    </w:tblPr>
    <w:tblGrid>
      <w:gridCol w:w="9576"/>
      <w:gridCol w:w="504"/>
    </w:tblGrid>
    <w:tr w:rsidR="00616F49" w:rsidRPr="007E3813" w14:paraId="1C695A01" w14:textId="77777777" w:rsidTr="005655DE">
      <w:trPr>
        <w:jc w:val="right"/>
      </w:trPr>
      <w:tc>
        <w:tcPr>
          <w:tcW w:w="4795" w:type="dxa"/>
          <w:vAlign w:val="center"/>
        </w:tcPr>
        <w:sdt>
          <w:sdtPr>
            <w:rPr>
              <w:rFonts w:ascii="Merriweather Light" w:hAnsi="Merriweather Light"/>
              <w:color w:val="000000" w:themeColor="text1"/>
              <w:sz w:val="18"/>
              <w:szCs w:val="17"/>
            </w:rPr>
            <w:alias w:val="Author"/>
            <w:tag w:val=""/>
            <w:id w:val="1250540063"/>
            <w:placeholder>
              <w:docPart w:val="5A249185F1F6E948BCCD8EF32FCE6656"/>
            </w:placeholder>
            <w:dataBinding w:prefixMappings="xmlns:ns0='http://purl.org/dc/elements/1.1/' xmlns:ns1='http://schemas.openxmlformats.org/package/2006/metadata/core-properties' " w:xpath="/ns1:coreProperties[1]/ns0:creator[1]" w:storeItemID="{6C3C8BC8-F283-45AE-878A-BAB7291924A1}"/>
            <w:text/>
          </w:sdtPr>
          <w:sdtEndPr/>
          <w:sdtContent>
            <w:p w14:paraId="40ADB483" w14:textId="1001E956" w:rsidR="00616F49" w:rsidRPr="00F61BF7" w:rsidRDefault="00616F49" w:rsidP="00F61BF7">
              <w:pPr>
                <w:pStyle w:val="Header"/>
                <w:jc w:val="right"/>
                <w:rPr>
                  <w:rFonts w:ascii="Merriweather Light" w:hAnsi="Merriweather Light"/>
                  <w:caps/>
                  <w:color w:val="000000" w:themeColor="text1"/>
                  <w:sz w:val="18"/>
                  <w:szCs w:val="17"/>
                </w:rPr>
              </w:pPr>
              <w:r w:rsidRPr="00F61BF7">
                <w:rPr>
                  <w:rFonts w:ascii="Merriweather Light" w:hAnsi="Merriweather Light"/>
                  <w:color w:val="000000" w:themeColor="text1"/>
                  <w:sz w:val="18"/>
                  <w:szCs w:val="17"/>
                </w:rPr>
                <w:t xml:space="preserve">Journal of Social Sciences Review | Vol. 2 no. </w:t>
              </w:r>
              <w:r>
                <w:rPr>
                  <w:rFonts w:ascii="Merriweather Light" w:hAnsi="Merriweather Light"/>
                  <w:color w:val="000000" w:themeColor="text1"/>
                  <w:sz w:val="18"/>
                  <w:szCs w:val="17"/>
                </w:rPr>
                <w:t>4</w:t>
              </w:r>
              <w:r w:rsidRPr="00F61BF7">
                <w:rPr>
                  <w:rFonts w:ascii="Merriweather Light" w:hAnsi="Merriweather Light"/>
                  <w:color w:val="000000" w:themeColor="text1"/>
                  <w:sz w:val="18"/>
                  <w:szCs w:val="17"/>
                </w:rPr>
                <w:t xml:space="preserve"> (</w:t>
              </w:r>
              <w:r>
                <w:rPr>
                  <w:rFonts w:ascii="Merriweather Light" w:hAnsi="Merriweather Light"/>
                  <w:color w:val="000000" w:themeColor="text1"/>
                  <w:sz w:val="18"/>
                  <w:szCs w:val="17"/>
                </w:rPr>
                <w:t xml:space="preserve">Fall </w:t>
              </w:r>
              <w:r w:rsidRPr="00F61BF7">
                <w:rPr>
                  <w:rFonts w:ascii="Merriweather Light" w:hAnsi="Merriweather Light"/>
                  <w:color w:val="000000" w:themeColor="text1"/>
                  <w:sz w:val="18"/>
                  <w:szCs w:val="17"/>
                </w:rPr>
                <w:t>2022) | p-ISSN: 2789-441X | e-ISSN: 2789-4428</w:t>
              </w:r>
            </w:p>
          </w:sdtContent>
        </w:sdt>
      </w:tc>
      <w:tc>
        <w:tcPr>
          <w:tcW w:w="250" w:type="pct"/>
          <w:shd w:val="clear" w:color="auto" w:fill="011893"/>
          <w:vAlign w:val="center"/>
        </w:tcPr>
        <w:p w14:paraId="62F2EC8A" w14:textId="40C0ECDD" w:rsidR="00616F49" w:rsidRPr="00457994" w:rsidRDefault="00616F49" w:rsidP="00A17886">
          <w:pPr>
            <w:pStyle w:val="Footer"/>
            <w:jc w:val="center"/>
            <w:rPr>
              <w:rFonts w:ascii="Merriweather Light" w:hAnsi="Merriweather Light"/>
              <w:color w:val="FFFFFF" w:themeColor="background1"/>
              <w:sz w:val="17"/>
              <w:szCs w:val="17"/>
            </w:rPr>
          </w:pPr>
          <w:r w:rsidRPr="00457994">
            <w:rPr>
              <w:rFonts w:ascii="Merriweather Light" w:hAnsi="Merriweather Light"/>
              <w:color w:val="FFFFFF" w:themeColor="background1"/>
              <w:sz w:val="18"/>
              <w:szCs w:val="18"/>
            </w:rPr>
            <w:fldChar w:fldCharType="begin"/>
          </w:r>
          <w:r w:rsidRPr="00457994">
            <w:rPr>
              <w:rFonts w:ascii="Merriweather Light" w:hAnsi="Merriweather Light"/>
              <w:color w:val="FFFFFF" w:themeColor="background1"/>
              <w:sz w:val="18"/>
              <w:szCs w:val="18"/>
            </w:rPr>
            <w:instrText xml:space="preserve"> PAGE   \* MERGEFORMAT </w:instrText>
          </w:r>
          <w:r w:rsidRPr="00457994">
            <w:rPr>
              <w:rFonts w:ascii="Merriweather Light" w:hAnsi="Merriweather Light"/>
              <w:color w:val="FFFFFF" w:themeColor="background1"/>
              <w:sz w:val="18"/>
              <w:szCs w:val="18"/>
            </w:rPr>
            <w:fldChar w:fldCharType="separate"/>
          </w:r>
          <w:r w:rsidR="00DB367D">
            <w:rPr>
              <w:rFonts w:ascii="Merriweather Light" w:hAnsi="Merriweather Light"/>
              <w:noProof/>
              <w:color w:val="FFFFFF" w:themeColor="background1"/>
              <w:sz w:val="18"/>
              <w:szCs w:val="18"/>
            </w:rPr>
            <w:t>89</w:t>
          </w:r>
          <w:r w:rsidRPr="00457994">
            <w:rPr>
              <w:rFonts w:ascii="Merriweather Light" w:hAnsi="Merriweather Light"/>
              <w:noProof/>
              <w:color w:val="FFFFFF" w:themeColor="background1"/>
              <w:sz w:val="18"/>
              <w:szCs w:val="18"/>
            </w:rPr>
            <w:fldChar w:fldCharType="end"/>
          </w:r>
        </w:p>
      </w:tc>
    </w:tr>
  </w:tbl>
  <w:p w14:paraId="10AE931C" w14:textId="77777777" w:rsidR="00616F49" w:rsidRPr="00A17886" w:rsidRDefault="00616F49">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96C69" w14:textId="77777777" w:rsidR="00616F49" w:rsidRPr="00A17886" w:rsidRDefault="00616F49" w:rsidP="00293FC7">
    <w:pPr>
      <w:pStyle w:val="Footer"/>
      <w:rPr>
        <w:sz w:val="14"/>
        <w:szCs w:val="14"/>
      </w:rPr>
    </w:pPr>
  </w:p>
  <w:tbl>
    <w:tblPr>
      <w:tblW w:w="5000" w:type="pct"/>
      <w:jc w:val="right"/>
      <w:tblBorders>
        <w:top w:val="single" w:sz="4" w:space="0" w:color="011893"/>
      </w:tblBorders>
      <w:tblCellMar>
        <w:top w:w="115" w:type="dxa"/>
        <w:left w:w="115" w:type="dxa"/>
        <w:bottom w:w="115" w:type="dxa"/>
        <w:right w:w="115" w:type="dxa"/>
      </w:tblCellMar>
      <w:tblLook w:val="04A0" w:firstRow="1" w:lastRow="0" w:firstColumn="1" w:lastColumn="0" w:noHBand="0" w:noVBand="1"/>
    </w:tblPr>
    <w:tblGrid>
      <w:gridCol w:w="9576"/>
      <w:gridCol w:w="504"/>
    </w:tblGrid>
    <w:tr w:rsidR="00616F49" w:rsidRPr="007E3813" w14:paraId="7263C979" w14:textId="77777777" w:rsidTr="00616F49">
      <w:trPr>
        <w:jc w:val="right"/>
      </w:trPr>
      <w:tc>
        <w:tcPr>
          <w:tcW w:w="4795" w:type="dxa"/>
          <w:vAlign w:val="center"/>
        </w:tcPr>
        <w:sdt>
          <w:sdtPr>
            <w:rPr>
              <w:rFonts w:ascii="Merriweather Light" w:hAnsi="Merriweather Light"/>
              <w:color w:val="000000" w:themeColor="text1"/>
              <w:sz w:val="17"/>
              <w:szCs w:val="17"/>
            </w:rPr>
            <w:alias w:val="Author"/>
            <w:tag w:val=""/>
            <w:id w:val="720555939"/>
            <w:placeholder>
              <w:docPart w:val="A9703EC97CDE4AE18FE640DEF85A99EC"/>
            </w:placeholder>
            <w:dataBinding w:prefixMappings="xmlns:ns0='http://purl.org/dc/elements/1.1/' xmlns:ns1='http://schemas.openxmlformats.org/package/2006/metadata/core-properties' " w:xpath="/ns1:coreProperties[1]/ns0:creator[1]" w:storeItemID="{6C3C8BC8-F283-45AE-878A-BAB7291924A1}"/>
            <w:text/>
          </w:sdtPr>
          <w:sdtEndPr/>
          <w:sdtContent>
            <w:p w14:paraId="306104C9" w14:textId="52415A47" w:rsidR="00616F49" w:rsidRPr="007E3813" w:rsidRDefault="00616F49" w:rsidP="00293FC7">
              <w:pPr>
                <w:pStyle w:val="Header"/>
                <w:jc w:val="right"/>
                <w:rPr>
                  <w:rFonts w:ascii="Merriweather Light" w:hAnsi="Merriweather Light"/>
                  <w:caps/>
                  <w:color w:val="000000" w:themeColor="text1"/>
                  <w:sz w:val="17"/>
                  <w:szCs w:val="17"/>
                </w:rPr>
              </w:pPr>
              <w:r>
                <w:rPr>
                  <w:rFonts w:ascii="Merriweather Light" w:hAnsi="Merriweather Light"/>
                  <w:color w:val="000000" w:themeColor="text1"/>
                  <w:sz w:val="17"/>
                  <w:szCs w:val="17"/>
                </w:rPr>
                <w:t>Journal of Social Sciences Review | Vol. 2 no. 4 (Fall 2022) | p-ISSN: 2789-441X | e-ISSN: 2789-4428</w:t>
              </w:r>
            </w:p>
          </w:sdtContent>
        </w:sdt>
      </w:tc>
      <w:tc>
        <w:tcPr>
          <w:tcW w:w="250" w:type="pct"/>
          <w:shd w:val="clear" w:color="auto" w:fill="011893"/>
          <w:vAlign w:val="center"/>
        </w:tcPr>
        <w:p w14:paraId="15016A9D" w14:textId="79A50600" w:rsidR="00616F49" w:rsidRPr="00457994" w:rsidRDefault="00616F49" w:rsidP="00293FC7">
          <w:pPr>
            <w:pStyle w:val="Footer"/>
            <w:jc w:val="center"/>
            <w:rPr>
              <w:rFonts w:ascii="Merriweather Light" w:hAnsi="Merriweather Light"/>
              <w:color w:val="FFFFFF" w:themeColor="background1"/>
              <w:sz w:val="17"/>
              <w:szCs w:val="17"/>
            </w:rPr>
          </w:pPr>
          <w:r w:rsidRPr="00457994">
            <w:rPr>
              <w:rFonts w:ascii="Merriweather Light" w:hAnsi="Merriweather Light"/>
              <w:color w:val="FFFFFF" w:themeColor="background1"/>
              <w:sz w:val="18"/>
              <w:szCs w:val="18"/>
            </w:rPr>
            <w:fldChar w:fldCharType="begin"/>
          </w:r>
          <w:r w:rsidRPr="00457994">
            <w:rPr>
              <w:rFonts w:ascii="Merriweather Light" w:hAnsi="Merriweather Light"/>
              <w:color w:val="FFFFFF" w:themeColor="background1"/>
              <w:sz w:val="18"/>
              <w:szCs w:val="18"/>
            </w:rPr>
            <w:instrText xml:space="preserve"> PAGE   \* MERGEFORMAT </w:instrText>
          </w:r>
          <w:r w:rsidRPr="00457994">
            <w:rPr>
              <w:rFonts w:ascii="Merriweather Light" w:hAnsi="Merriweather Light"/>
              <w:color w:val="FFFFFF" w:themeColor="background1"/>
              <w:sz w:val="18"/>
              <w:szCs w:val="18"/>
            </w:rPr>
            <w:fldChar w:fldCharType="separate"/>
          </w:r>
          <w:r w:rsidR="00BB1535">
            <w:rPr>
              <w:rFonts w:ascii="Merriweather Light" w:hAnsi="Merriweather Light"/>
              <w:noProof/>
              <w:color w:val="FFFFFF" w:themeColor="background1"/>
              <w:sz w:val="18"/>
              <w:szCs w:val="18"/>
            </w:rPr>
            <w:t>84</w:t>
          </w:r>
          <w:r w:rsidRPr="00457994">
            <w:rPr>
              <w:rFonts w:ascii="Merriweather Light" w:hAnsi="Merriweather Light"/>
              <w:noProof/>
              <w:color w:val="FFFFFF" w:themeColor="background1"/>
              <w:sz w:val="18"/>
              <w:szCs w:val="18"/>
            </w:rPr>
            <w:fldChar w:fldCharType="end"/>
          </w:r>
        </w:p>
      </w:tc>
    </w:tr>
  </w:tbl>
  <w:p w14:paraId="793508E3" w14:textId="77777777" w:rsidR="00616F49" w:rsidRPr="00A17886" w:rsidRDefault="00616F49" w:rsidP="00293FC7">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140D1" w14:textId="77777777" w:rsidR="00BB1535" w:rsidRPr="00457994" w:rsidRDefault="00BB1535" w:rsidP="00BB1535">
    <w:pPr>
      <w:pStyle w:val="Footer"/>
      <w:rPr>
        <w:rFonts w:ascii="Merriweather Light" w:hAnsi="Merriweather Light"/>
        <w:color w:val="000000" w:themeColor="text1"/>
        <w:sz w:val="14"/>
        <w:szCs w:val="14"/>
      </w:rPr>
    </w:pPr>
  </w:p>
  <w:tbl>
    <w:tblPr>
      <w:tblW w:w="5000" w:type="pct"/>
      <w:jc w:val="right"/>
      <w:tblBorders>
        <w:top w:val="single" w:sz="4" w:space="0" w:color="011893"/>
      </w:tblBorders>
      <w:tblCellMar>
        <w:top w:w="115" w:type="dxa"/>
        <w:left w:w="115" w:type="dxa"/>
        <w:bottom w:w="115" w:type="dxa"/>
        <w:right w:w="115" w:type="dxa"/>
      </w:tblCellMar>
      <w:tblLook w:val="04A0" w:firstRow="1" w:lastRow="0" w:firstColumn="1" w:lastColumn="0" w:noHBand="0" w:noVBand="1"/>
    </w:tblPr>
    <w:tblGrid>
      <w:gridCol w:w="551"/>
      <w:gridCol w:w="9529"/>
    </w:tblGrid>
    <w:tr w:rsidR="00BB1535" w:rsidRPr="001A5D3F" w14:paraId="6EA877F5" w14:textId="77777777" w:rsidTr="00D854B3">
      <w:trPr>
        <w:jc w:val="right"/>
      </w:trPr>
      <w:tc>
        <w:tcPr>
          <w:tcW w:w="540" w:type="dxa"/>
          <w:shd w:val="clear" w:color="auto" w:fill="011893"/>
          <w:vAlign w:val="center"/>
        </w:tcPr>
        <w:p w14:paraId="7A903D3C" w14:textId="72D5B8B9" w:rsidR="00BB1535" w:rsidRPr="001A5D3F" w:rsidRDefault="00BB1535" w:rsidP="00BB1535">
          <w:pPr>
            <w:pStyle w:val="Footer"/>
            <w:jc w:val="center"/>
            <w:rPr>
              <w:rFonts w:ascii="Merriweather Light" w:hAnsi="Merriweather Light"/>
              <w:color w:val="000000" w:themeColor="text1"/>
              <w:sz w:val="18"/>
              <w:szCs w:val="18"/>
            </w:rPr>
          </w:pPr>
          <w:r w:rsidRPr="00457994">
            <w:rPr>
              <w:rFonts w:ascii="Merriweather Light" w:hAnsi="Merriweather Light"/>
              <w:color w:val="FFFFFF" w:themeColor="background1"/>
              <w:sz w:val="18"/>
              <w:szCs w:val="18"/>
            </w:rPr>
            <w:fldChar w:fldCharType="begin"/>
          </w:r>
          <w:r w:rsidRPr="00457994">
            <w:rPr>
              <w:rFonts w:ascii="Merriweather Light" w:hAnsi="Merriweather Light"/>
              <w:color w:val="FFFFFF" w:themeColor="background1"/>
              <w:sz w:val="18"/>
              <w:szCs w:val="18"/>
            </w:rPr>
            <w:instrText xml:space="preserve"> PAGE   \* MERGEFORMAT </w:instrText>
          </w:r>
          <w:r w:rsidRPr="00457994">
            <w:rPr>
              <w:rFonts w:ascii="Merriweather Light" w:hAnsi="Merriweather Light"/>
              <w:color w:val="FFFFFF" w:themeColor="background1"/>
              <w:sz w:val="18"/>
              <w:szCs w:val="18"/>
            </w:rPr>
            <w:fldChar w:fldCharType="separate"/>
          </w:r>
          <w:r>
            <w:rPr>
              <w:rFonts w:ascii="Merriweather Light" w:hAnsi="Merriweather Light"/>
              <w:noProof/>
              <w:color w:val="FFFFFF" w:themeColor="background1"/>
              <w:sz w:val="18"/>
              <w:szCs w:val="18"/>
            </w:rPr>
            <w:t>84</w:t>
          </w:r>
          <w:r w:rsidRPr="00457994">
            <w:rPr>
              <w:rFonts w:ascii="Merriweather Light" w:hAnsi="Merriweather Light"/>
              <w:noProof/>
              <w:color w:val="FFFFFF" w:themeColor="background1"/>
              <w:sz w:val="18"/>
              <w:szCs w:val="18"/>
            </w:rPr>
            <w:fldChar w:fldCharType="end"/>
          </w:r>
        </w:p>
      </w:tc>
      <w:tc>
        <w:tcPr>
          <w:tcW w:w="9338" w:type="dxa"/>
          <w:shd w:val="clear" w:color="auto" w:fill="auto"/>
        </w:tcPr>
        <w:p w14:paraId="0A8A1731" w14:textId="77777777" w:rsidR="00BB1535" w:rsidRPr="00F61BF7" w:rsidRDefault="00BB1535" w:rsidP="00BB1535">
          <w:pPr>
            <w:rPr>
              <w:rFonts w:ascii="Merriweather Light" w:eastAsiaTheme="minorHAnsi" w:hAnsi="Merriweather Light" w:cstheme="minorBidi"/>
              <w:color w:val="000000" w:themeColor="text1"/>
              <w:sz w:val="18"/>
              <w:szCs w:val="18"/>
              <w:lang w:eastAsia="en-US"/>
            </w:rPr>
          </w:pPr>
          <w:r w:rsidRPr="00F61BF7">
            <w:rPr>
              <w:rFonts w:ascii="Merriweather Light" w:eastAsiaTheme="minorHAnsi" w:hAnsi="Merriweather Light" w:cstheme="minorBidi"/>
              <w:color w:val="000000" w:themeColor="text1"/>
              <w:sz w:val="18"/>
              <w:szCs w:val="18"/>
              <w:lang w:eastAsia="en-US"/>
            </w:rPr>
            <w:t>Journal of Social Sciences Review | Vol. 2  No. 4 (Fall 2022) | p-ISSN: 2789-441X | e-ISSN: 2789-4428</w:t>
          </w:r>
        </w:p>
      </w:tc>
    </w:tr>
  </w:tbl>
  <w:p w14:paraId="500EE4F1" w14:textId="77777777" w:rsidR="00BB1535" w:rsidRPr="009F7C5C" w:rsidRDefault="00BB1535" w:rsidP="00BB1535">
    <w:pPr>
      <w:pStyle w:val="Footer"/>
      <w:rPr>
        <w:sz w:val="2"/>
        <w:szCs w:val="2"/>
      </w:rPr>
    </w:pPr>
  </w:p>
  <w:p w14:paraId="645D6B11" w14:textId="77777777" w:rsidR="00BB1535" w:rsidRPr="00BB1535" w:rsidRDefault="00BB1535" w:rsidP="00BB1535">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57F3E" w14:textId="77777777" w:rsidR="00EC6A62" w:rsidRDefault="00EC6A62" w:rsidP="00281CBA">
      <w:r>
        <w:separator/>
      </w:r>
    </w:p>
  </w:footnote>
  <w:footnote w:type="continuationSeparator" w:id="0">
    <w:p w14:paraId="75475699" w14:textId="77777777" w:rsidR="00EC6A62" w:rsidRDefault="00EC6A62" w:rsidP="00281CBA">
      <w:r>
        <w:continuationSeparator/>
      </w:r>
    </w:p>
  </w:footnote>
  <w:footnote w:type="continuationNotice" w:id="1">
    <w:p w14:paraId="34F23AD6" w14:textId="77777777" w:rsidR="00EC6A62" w:rsidRDefault="00EC6A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3B68E" w14:textId="33FFB7D5" w:rsidR="00616F49" w:rsidRPr="00F06CCB" w:rsidRDefault="00D475E2" w:rsidP="00A81EC5">
    <w:pPr>
      <w:pStyle w:val="Header"/>
      <w:pBdr>
        <w:bottom w:val="single" w:sz="4" w:space="1" w:color="011893"/>
      </w:pBdr>
      <w:rPr>
        <w:rFonts w:ascii="Merriweather Light" w:hAnsi="Merriweather Light"/>
        <w:sz w:val="19"/>
        <w:szCs w:val="19"/>
      </w:rPr>
    </w:pPr>
    <w:proofErr w:type="spellStart"/>
    <w:r w:rsidRPr="00D475E2">
      <w:rPr>
        <w:rFonts w:ascii="Merriweather Light" w:hAnsi="Merriweather Light"/>
        <w:i/>
        <w:sz w:val="19"/>
        <w:szCs w:val="19"/>
      </w:rPr>
      <w:t>Faiza</w:t>
    </w:r>
    <w:proofErr w:type="spellEnd"/>
    <w:r w:rsidRPr="00D475E2">
      <w:rPr>
        <w:rFonts w:ascii="Merriweather Light" w:hAnsi="Merriweather Light"/>
        <w:i/>
        <w:sz w:val="19"/>
        <w:szCs w:val="19"/>
      </w:rPr>
      <w:t xml:space="preserve"> Hashmi</w:t>
    </w:r>
    <w:r>
      <w:rPr>
        <w:rFonts w:ascii="Merriweather Light" w:hAnsi="Merriweather Light"/>
        <w:i/>
        <w:sz w:val="19"/>
        <w:szCs w:val="19"/>
      </w:rPr>
      <w:t xml:space="preserve"> and </w:t>
    </w:r>
    <w:proofErr w:type="spellStart"/>
    <w:r w:rsidRPr="00D475E2">
      <w:rPr>
        <w:rFonts w:ascii="Merriweather Light" w:hAnsi="Merriweather Light"/>
        <w:i/>
        <w:sz w:val="19"/>
        <w:szCs w:val="19"/>
      </w:rPr>
      <w:t>Waseem</w:t>
    </w:r>
    <w:proofErr w:type="spellEnd"/>
    <w:r w:rsidR="00A81EC5">
      <w:rPr>
        <w:rFonts w:ascii="Merriweather Light" w:hAnsi="Merriweather Light"/>
        <w:i/>
        <w:sz w:val="19"/>
        <w:szCs w:val="19"/>
      </w:rPr>
      <w:t xml:space="preserve"> </w:t>
    </w:r>
    <w:proofErr w:type="spellStart"/>
    <w:r w:rsidR="00A81EC5">
      <w:rPr>
        <w:rFonts w:ascii="Merriweather Light" w:hAnsi="Merriweather Light"/>
        <w:i/>
        <w:sz w:val="19"/>
        <w:szCs w:val="19"/>
      </w:rPr>
      <w:t>U</w:t>
    </w:r>
    <w:r w:rsidRPr="00D475E2">
      <w:rPr>
        <w:rFonts w:ascii="Merriweather Light" w:hAnsi="Merriweather Light"/>
        <w:i/>
        <w:sz w:val="19"/>
        <w:szCs w:val="19"/>
      </w:rPr>
      <w:t>l</w:t>
    </w:r>
    <w:proofErr w:type="spellEnd"/>
    <w:r w:rsidRPr="00D475E2">
      <w:rPr>
        <w:rFonts w:ascii="Merriweather Light" w:hAnsi="Merriweather Light"/>
        <w:i/>
        <w:sz w:val="19"/>
        <w:szCs w:val="19"/>
      </w:rPr>
      <w:t xml:space="preserve"> Hameed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6B252" w14:textId="7487005A" w:rsidR="00616F49" w:rsidRPr="00933220" w:rsidRDefault="007428B3" w:rsidP="00210F08">
    <w:pPr>
      <w:pStyle w:val="Header"/>
      <w:pBdr>
        <w:bottom w:val="single" w:sz="4" w:space="1" w:color="011893"/>
      </w:pBdr>
      <w:jc w:val="right"/>
      <w:rPr>
        <w:sz w:val="19"/>
        <w:szCs w:val="19"/>
      </w:rPr>
    </w:pPr>
    <w:r w:rsidRPr="007428B3">
      <w:rPr>
        <w:rFonts w:ascii="Merriweather Light" w:hAnsi="Merriweather Light"/>
        <w:i/>
        <w:sz w:val="19"/>
        <w:szCs w:val="19"/>
      </w:rPr>
      <w:t>Contribution of Social Media towards Corporate Financial Performance: Mediating Role of CSR Communication Factors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373" w:type="pct"/>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3764"/>
      <w:gridCol w:w="5052"/>
    </w:tblGrid>
    <w:tr w:rsidR="00616F49" w:rsidRPr="0046549D" w14:paraId="59E2E307" w14:textId="77777777" w:rsidTr="00616F49">
      <w:tc>
        <w:tcPr>
          <w:tcW w:w="2135" w:type="pct"/>
          <w:tcBorders>
            <w:top w:val="single" w:sz="4" w:space="0" w:color="011893"/>
            <w:bottom w:val="single" w:sz="4" w:space="0" w:color="011893"/>
          </w:tcBorders>
        </w:tcPr>
        <w:p w14:paraId="41999B9A" w14:textId="77777777" w:rsidR="00616F49" w:rsidRPr="0046549D" w:rsidRDefault="00616F49" w:rsidP="001358A2">
          <w:pPr>
            <w:pStyle w:val="Header"/>
            <w:spacing w:before="60" w:after="60"/>
            <w:ind w:left="-19"/>
            <w:rPr>
              <w:rFonts w:ascii="Merriweather Light" w:hAnsi="Merriweather Light"/>
              <w:b/>
              <w:bCs/>
              <w:color w:val="502D7A"/>
              <w:sz w:val="16"/>
              <w:szCs w:val="16"/>
            </w:rPr>
          </w:pPr>
          <w:r w:rsidRPr="0046549D">
            <w:rPr>
              <w:rFonts w:ascii="Merriweather Light" w:hAnsi="Merriweather Light"/>
              <w:b/>
              <w:bCs/>
              <w:color w:val="011893"/>
              <w:sz w:val="16"/>
              <w:szCs w:val="16"/>
            </w:rPr>
            <w:t xml:space="preserve">Journal of Social Sciences Review (JSSR) </w:t>
          </w:r>
        </w:p>
      </w:tc>
      <w:tc>
        <w:tcPr>
          <w:tcW w:w="2865" w:type="pct"/>
          <w:tcBorders>
            <w:top w:val="single" w:sz="4" w:space="0" w:color="011893"/>
            <w:bottom w:val="single" w:sz="4" w:space="0" w:color="011893"/>
          </w:tcBorders>
        </w:tcPr>
        <w:p w14:paraId="3CF3391D" w14:textId="2049CB57" w:rsidR="00616F49" w:rsidRPr="0046549D" w:rsidRDefault="00616F49" w:rsidP="00E85F56">
          <w:pPr>
            <w:pStyle w:val="Header"/>
            <w:spacing w:before="60" w:after="60"/>
            <w:ind w:left="648"/>
            <w:jc w:val="right"/>
            <w:rPr>
              <w:rFonts w:ascii="Merriweather Light" w:hAnsi="Merriweather Light"/>
              <w:color w:val="502D7A"/>
              <w:sz w:val="16"/>
              <w:szCs w:val="16"/>
            </w:rPr>
          </w:pPr>
        </w:p>
      </w:tc>
    </w:tr>
    <w:tr w:rsidR="00616F49" w:rsidRPr="0046549D" w14:paraId="727A1996" w14:textId="77777777" w:rsidTr="00616F49">
      <w:tc>
        <w:tcPr>
          <w:tcW w:w="5000" w:type="pct"/>
          <w:gridSpan w:val="2"/>
          <w:tcBorders>
            <w:top w:val="single" w:sz="4" w:space="0" w:color="011893"/>
            <w:bottom w:val="single" w:sz="4" w:space="0" w:color="011893"/>
          </w:tcBorders>
          <w:shd w:val="clear" w:color="auto" w:fill="F2F2F2" w:themeFill="background1" w:themeFillShade="F2"/>
        </w:tcPr>
        <w:p w14:paraId="702C670C" w14:textId="606A5D22" w:rsidR="00616F49" w:rsidRPr="00884E1B" w:rsidRDefault="00616F49" w:rsidP="00DB367D">
          <w:pPr>
            <w:pStyle w:val="Header"/>
            <w:spacing w:before="60" w:after="60"/>
            <w:rPr>
              <w:rFonts w:ascii="Merriweather Light" w:hAnsi="Merriweather Light" w:cs="Arial"/>
              <w:sz w:val="16"/>
              <w:szCs w:val="16"/>
            </w:rPr>
          </w:pPr>
          <w:r w:rsidRPr="0046549D">
            <w:rPr>
              <w:rFonts w:ascii="Merriweather Light" w:hAnsi="Merriweather Light"/>
              <w:b/>
              <w:bCs/>
              <w:color w:val="011893"/>
              <w:sz w:val="16"/>
              <w:szCs w:val="16"/>
            </w:rPr>
            <w:t xml:space="preserve">How to Cite This Article: </w:t>
          </w:r>
          <w:r w:rsidR="00672F0B">
            <w:rPr>
              <w:rFonts w:ascii="Merriweather Light" w:hAnsi="Merriweather Light" w:cs="Arial"/>
              <w:sz w:val="16"/>
              <w:szCs w:val="16"/>
            </w:rPr>
            <w:t>Hashmi</w:t>
          </w:r>
          <w:r w:rsidRPr="0046549D">
            <w:rPr>
              <w:rFonts w:ascii="Merriweather Light" w:hAnsi="Merriweather Light" w:cs="Arial"/>
              <w:sz w:val="16"/>
              <w:szCs w:val="16"/>
            </w:rPr>
            <w:t xml:space="preserve">, </w:t>
          </w:r>
          <w:r w:rsidR="00672F0B">
            <w:rPr>
              <w:rFonts w:ascii="Merriweather Light" w:hAnsi="Merriweather Light" w:cs="Arial"/>
              <w:sz w:val="16"/>
              <w:szCs w:val="16"/>
            </w:rPr>
            <w:t>F</w:t>
          </w:r>
          <w:r w:rsidRPr="0046549D">
            <w:rPr>
              <w:rFonts w:ascii="Merriweather Light" w:hAnsi="Merriweather Light" w:cs="Arial"/>
              <w:sz w:val="16"/>
              <w:szCs w:val="16"/>
            </w:rPr>
            <w:t>.</w:t>
          </w:r>
          <w:r>
            <w:rPr>
              <w:rFonts w:ascii="Merriweather Light" w:hAnsi="Merriweather Light" w:cs="Arial"/>
              <w:sz w:val="16"/>
              <w:szCs w:val="16"/>
            </w:rPr>
            <w:t xml:space="preserve">, &amp; </w:t>
          </w:r>
          <w:r w:rsidR="00672F0B">
            <w:rPr>
              <w:rFonts w:ascii="Merriweather Light" w:hAnsi="Merriweather Light" w:cs="Arial"/>
              <w:sz w:val="16"/>
              <w:szCs w:val="16"/>
            </w:rPr>
            <w:t>Hameed</w:t>
          </w:r>
          <w:r>
            <w:rPr>
              <w:rFonts w:ascii="Merriweather Light" w:hAnsi="Merriweather Light" w:cs="Arial"/>
              <w:sz w:val="16"/>
              <w:szCs w:val="16"/>
            </w:rPr>
            <w:t xml:space="preserve">, </w:t>
          </w:r>
          <w:r w:rsidR="00672F0B">
            <w:rPr>
              <w:rFonts w:ascii="Merriweather Light" w:hAnsi="Merriweather Light" w:cs="Arial"/>
              <w:sz w:val="16"/>
              <w:szCs w:val="16"/>
            </w:rPr>
            <w:t>W. U</w:t>
          </w:r>
          <w:r>
            <w:rPr>
              <w:rFonts w:ascii="Merriweather Light" w:hAnsi="Merriweather Light" w:cs="Arial"/>
              <w:sz w:val="16"/>
              <w:szCs w:val="16"/>
            </w:rPr>
            <w:t>.</w:t>
          </w:r>
          <w:r w:rsidRPr="0046549D">
            <w:rPr>
              <w:rFonts w:ascii="Merriweather Light" w:hAnsi="Merriweather Light" w:cs="Arial"/>
              <w:sz w:val="16"/>
              <w:szCs w:val="16"/>
            </w:rPr>
            <w:t xml:space="preserve"> (2022</w:t>
          </w:r>
          <w:r w:rsidR="002170D9">
            <w:rPr>
              <w:rFonts w:ascii="Merriweather Light" w:hAnsi="Merriweather Light" w:cs="Arial"/>
              <w:sz w:val="16"/>
              <w:szCs w:val="16"/>
            </w:rPr>
            <w:t>).</w:t>
          </w:r>
          <w:r>
            <w:t xml:space="preserve"> </w:t>
          </w:r>
          <w:r w:rsidR="002170D9" w:rsidRPr="002170D9">
            <w:rPr>
              <w:rFonts w:ascii="Merriweather Light" w:hAnsi="Merriweather Light" w:cs="Arial"/>
              <w:sz w:val="16"/>
              <w:szCs w:val="16"/>
            </w:rPr>
            <w:t>Contribution of Social Media towards Corporate Financial Performance: Mediating Role of CSR Communication Factors</w:t>
          </w:r>
          <w:r w:rsidRPr="0046549D">
            <w:rPr>
              <w:rFonts w:ascii="Merriweather Light" w:hAnsi="Merriweather Light" w:cs="Arial"/>
              <w:sz w:val="16"/>
              <w:szCs w:val="16"/>
            </w:rPr>
            <w:t xml:space="preserve">. </w:t>
          </w:r>
          <w:r>
            <w:rPr>
              <w:rFonts w:ascii="Merriweather Light" w:hAnsi="Merriweather Light" w:cs="Arial"/>
              <w:i/>
              <w:iCs/>
              <w:sz w:val="16"/>
              <w:szCs w:val="16"/>
            </w:rPr>
            <w:t>Journal of Social Sciences Review</w:t>
          </w:r>
          <w:r w:rsidRPr="0046549D">
            <w:rPr>
              <w:rFonts w:ascii="Merriweather Light" w:hAnsi="Merriweather Light" w:cs="Arial"/>
              <w:sz w:val="16"/>
              <w:szCs w:val="16"/>
            </w:rPr>
            <w:t xml:space="preserve">, </w:t>
          </w:r>
          <w:r>
            <w:rPr>
              <w:rFonts w:ascii="Merriweather Light" w:hAnsi="Merriweather Light" w:cs="Arial"/>
              <w:sz w:val="16"/>
              <w:szCs w:val="16"/>
            </w:rPr>
            <w:t>2</w:t>
          </w:r>
          <w:r w:rsidRPr="0046549D">
            <w:rPr>
              <w:rFonts w:ascii="Merriweather Light" w:hAnsi="Merriweather Light" w:cs="Arial"/>
              <w:sz w:val="16"/>
              <w:szCs w:val="16"/>
            </w:rPr>
            <w:t>(</w:t>
          </w:r>
          <w:r>
            <w:rPr>
              <w:rFonts w:ascii="Merriweather Light" w:hAnsi="Merriweather Light" w:cs="Arial"/>
              <w:sz w:val="16"/>
              <w:szCs w:val="16"/>
            </w:rPr>
            <w:t>4</w:t>
          </w:r>
          <w:r w:rsidRPr="0046549D">
            <w:rPr>
              <w:rFonts w:ascii="Merriweather Light" w:hAnsi="Merriweather Light" w:cs="Arial"/>
              <w:sz w:val="16"/>
              <w:szCs w:val="16"/>
            </w:rPr>
            <w:t xml:space="preserve">), </w:t>
          </w:r>
          <w:r w:rsidR="00E94D42">
            <w:rPr>
              <w:rFonts w:ascii="Merriweather Light" w:hAnsi="Merriweather Light" w:cs="Arial"/>
              <w:sz w:val="16"/>
              <w:szCs w:val="16"/>
            </w:rPr>
            <w:t>7</w:t>
          </w:r>
          <w:r w:rsidR="00D576B6">
            <w:rPr>
              <w:rFonts w:ascii="Merriweather Light" w:hAnsi="Merriweather Light" w:cs="Arial"/>
              <w:sz w:val="16"/>
              <w:szCs w:val="16"/>
            </w:rPr>
            <w:t>8</w:t>
          </w:r>
          <w:r w:rsidR="000F1364">
            <w:rPr>
              <w:rFonts w:ascii="Merriweather Light" w:hAnsi="Merriweather Light" w:cs="Arial"/>
              <w:sz w:val="16"/>
              <w:szCs w:val="16"/>
            </w:rPr>
            <w:t>-</w:t>
          </w:r>
          <w:r w:rsidR="00D576B6">
            <w:rPr>
              <w:rFonts w:ascii="Merriweather Light" w:hAnsi="Merriweather Light" w:cs="Arial"/>
              <w:sz w:val="16"/>
              <w:szCs w:val="16"/>
            </w:rPr>
            <w:t>8</w:t>
          </w:r>
          <w:r w:rsidR="00DB367D">
            <w:rPr>
              <w:rFonts w:ascii="Merriweather Light" w:hAnsi="Merriweather Light" w:cs="Arial"/>
              <w:sz w:val="16"/>
              <w:szCs w:val="16"/>
            </w:rPr>
            <w:t>9</w:t>
          </w:r>
          <w:r w:rsidR="000F1364">
            <w:rPr>
              <w:rFonts w:ascii="Merriweather Light" w:hAnsi="Merriweather Light" w:cs="Arial"/>
              <w:sz w:val="16"/>
              <w:szCs w:val="16"/>
            </w:rPr>
            <w:t>.</w:t>
          </w:r>
        </w:p>
      </w:tc>
    </w:tr>
  </w:tbl>
  <w:p w14:paraId="513494CA" w14:textId="77777777" w:rsidR="00616F49" w:rsidRDefault="00616F49" w:rsidP="001358A2">
    <w:pPr>
      <w:pStyle w:val="Header"/>
      <w:rPr>
        <w:rFonts w:ascii="Merriweather Light" w:hAnsi="Merriweather Light"/>
        <w:sz w:val="22"/>
        <w:szCs w:val="22"/>
      </w:rPr>
    </w:pPr>
    <w:r>
      <w:rPr>
        <w:rFonts w:ascii="Merriweather Light" w:hAnsi="Merriweather Light" w:cs="Arial"/>
        <w:i/>
        <w:iCs/>
        <w:noProof/>
        <w:color w:val="000000" w:themeColor="text1"/>
        <w:sz w:val="17"/>
        <w:szCs w:val="17"/>
        <w:lang w:eastAsia="en-US"/>
      </w:rPr>
      <w:drawing>
        <wp:anchor distT="0" distB="0" distL="114300" distR="114300" simplePos="0" relativeHeight="251661312" behindDoc="0" locked="0" layoutInCell="1" allowOverlap="1" wp14:anchorId="60B4CA11" wp14:editId="12B8D1C2">
          <wp:simplePos x="0" y="0"/>
          <wp:positionH relativeFrom="margin">
            <wp:posOffset>5768340</wp:posOffset>
          </wp:positionH>
          <wp:positionV relativeFrom="paragraph">
            <wp:posOffset>-655955</wp:posOffset>
          </wp:positionV>
          <wp:extent cx="662821" cy="662821"/>
          <wp:effectExtent l="0" t="0" r="4445" b="4445"/>
          <wp:wrapNone/>
          <wp:docPr id="7" name="Picture 7"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2821" cy="662821"/>
                  </a:xfrm>
                  <a:prstGeom prst="rect">
                    <a:avLst/>
                  </a:prstGeom>
                </pic:spPr>
              </pic:pic>
            </a:graphicData>
          </a:graphic>
          <wp14:sizeRelH relativeFrom="page">
            <wp14:pctWidth>0</wp14:pctWidth>
          </wp14:sizeRelH>
          <wp14:sizeRelV relativeFrom="page">
            <wp14:pctHeight>0</wp14:pctHeight>
          </wp14:sizeRelV>
        </wp:anchor>
      </w:drawing>
    </w:r>
  </w:p>
  <w:p w14:paraId="09514B6D" w14:textId="2455DE61" w:rsidR="00616F49" w:rsidRDefault="00616F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BAF15" w14:textId="5C7A68BE" w:rsidR="00BB1535" w:rsidRPr="00BB1535" w:rsidRDefault="00BB1535" w:rsidP="00BB1535">
    <w:pPr>
      <w:pStyle w:val="Header"/>
      <w:pBdr>
        <w:bottom w:val="single" w:sz="4" w:space="1" w:color="011893"/>
      </w:pBdr>
      <w:rPr>
        <w:rFonts w:ascii="Merriweather Light" w:hAnsi="Merriweather Light"/>
        <w:sz w:val="19"/>
        <w:szCs w:val="19"/>
      </w:rPr>
    </w:pPr>
    <w:proofErr w:type="spellStart"/>
    <w:r w:rsidRPr="00D475E2">
      <w:rPr>
        <w:rFonts w:ascii="Merriweather Light" w:hAnsi="Merriweather Light"/>
        <w:i/>
        <w:sz w:val="19"/>
        <w:szCs w:val="19"/>
      </w:rPr>
      <w:t>Faiza</w:t>
    </w:r>
    <w:proofErr w:type="spellEnd"/>
    <w:r w:rsidRPr="00D475E2">
      <w:rPr>
        <w:rFonts w:ascii="Merriweather Light" w:hAnsi="Merriweather Light"/>
        <w:i/>
        <w:sz w:val="19"/>
        <w:szCs w:val="19"/>
      </w:rPr>
      <w:t xml:space="preserve"> Hashmi</w:t>
    </w:r>
    <w:r>
      <w:rPr>
        <w:rFonts w:ascii="Merriweather Light" w:hAnsi="Merriweather Light"/>
        <w:i/>
        <w:sz w:val="19"/>
        <w:szCs w:val="19"/>
      </w:rPr>
      <w:t xml:space="preserve"> and </w:t>
    </w:r>
    <w:proofErr w:type="spellStart"/>
    <w:r w:rsidRPr="00D475E2">
      <w:rPr>
        <w:rFonts w:ascii="Merriweather Light" w:hAnsi="Merriweather Light"/>
        <w:i/>
        <w:sz w:val="19"/>
        <w:szCs w:val="19"/>
      </w:rPr>
      <w:t>Waseem</w:t>
    </w:r>
    <w:proofErr w:type="spellEnd"/>
    <w:r>
      <w:rPr>
        <w:rFonts w:ascii="Merriweather Light" w:hAnsi="Merriweather Light"/>
        <w:i/>
        <w:sz w:val="19"/>
        <w:szCs w:val="19"/>
      </w:rPr>
      <w:t xml:space="preserve"> </w:t>
    </w:r>
    <w:proofErr w:type="spellStart"/>
    <w:r>
      <w:rPr>
        <w:rFonts w:ascii="Merriweather Light" w:hAnsi="Merriweather Light"/>
        <w:i/>
        <w:sz w:val="19"/>
        <w:szCs w:val="19"/>
      </w:rPr>
      <w:t>U</w:t>
    </w:r>
    <w:r w:rsidRPr="00D475E2">
      <w:rPr>
        <w:rFonts w:ascii="Merriweather Light" w:hAnsi="Merriweather Light"/>
        <w:i/>
        <w:sz w:val="19"/>
        <w:szCs w:val="19"/>
      </w:rPr>
      <w:t>l</w:t>
    </w:r>
    <w:proofErr w:type="spellEnd"/>
    <w:r w:rsidRPr="00D475E2">
      <w:rPr>
        <w:rFonts w:ascii="Merriweather Light" w:hAnsi="Merriweather Light"/>
        <w:i/>
        <w:sz w:val="19"/>
        <w:szCs w:val="19"/>
      </w:rPr>
      <w:t xml:space="preserve"> Hameed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02"/>
    <w:multiLevelType w:val="hybridMultilevel"/>
    <w:tmpl w:val="6C4AB61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A94E10"/>
    <w:multiLevelType w:val="hybridMultilevel"/>
    <w:tmpl w:val="22CC53A4"/>
    <w:lvl w:ilvl="0" w:tplc="06B8F9D8">
      <w:start w:val="1"/>
      <w:numFmt w:val="decimal"/>
      <w:lvlText w:val="%1."/>
      <w:lvlJc w:val="right"/>
      <w:pPr>
        <w:ind w:left="504" w:hanging="144"/>
      </w:pPr>
      <w:rPr>
        <w:rFonts w:ascii="Charter" w:hAnsi="Charter" w:cs="Charter" w:hint="default"/>
        <w:color w:val="011893"/>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B1F9F"/>
    <w:multiLevelType w:val="hybridMultilevel"/>
    <w:tmpl w:val="BAC231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601A0"/>
    <w:multiLevelType w:val="hybridMultilevel"/>
    <w:tmpl w:val="E91EA76E"/>
    <w:lvl w:ilvl="0" w:tplc="E870BE82">
      <w:start w:val="1"/>
      <w:numFmt w:val="bullet"/>
      <w:lvlText w:val=""/>
      <w:lvlJc w:val="left"/>
      <w:pPr>
        <w:ind w:left="720" w:hanging="360"/>
      </w:pPr>
      <w:rPr>
        <w:rFonts w:ascii="Wingdings" w:hAnsi="Wingdings" w:cs="Wingdings" w:hint="default"/>
        <w:color w:val="011893"/>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C17F5"/>
    <w:multiLevelType w:val="multilevel"/>
    <w:tmpl w:val="094044A4"/>
    <w:lvl w:ilvl="0">
      <w:start w:val="4"/>
      <w:numFmt w:val="decimal"/>
      <w:lvlText w:val="%1."/>
      <w:lvlJc w:val="left"/>
      <w:pPr>
        <w:ind w:left="675" w:hanging="675"/>
      </w:pPr>
      <w:rPr>
        <w:rFonts w:hint="default"/>
      </w:rPr>
    </w:lvl>
    <w:lvl w:ilvl="1">
      <w:start w:val="7"/>
      <w:numFmt w:val="decimal"/>
      <w:lvlText w:val="%1.%2."/>
      <w:lvlJc w:val="left"/>
      <w:pPr>
        <w:ind w:left="720" w:hanging="720"/>
      </w:pPr>
      <w:rPr>
        <w:rFonts w:hint="default"/>
        <w:sz w:val="24"/>
        <w:szCs w:val="24"/>
      </w:rPr>
    </w:lvl>
    <w:lvl w:ilvl="2">
      <w:start w:val="2"/>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BE48EC"/>
    <w:multiLevelType w:val="multilevel"/>
    <w:tmpl w:val="7A4C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23122"/>
    <w:multiLevelType w:val="hybridMultilevel"/>
    <w:tmpl w:val="E9D886EA"/>
    <w:lvl w:ilvl="0" w:tplc="06B8F9D8">
      <w:start w:val="1"/>
      <w:numFmt w:val="decimal"/>
      <w:lvlText w:val="%1."/>
      <w:lvlJc w:val="right"/>
      <w:pPr>
        <w:ind w:left="504" w:hanging="144"/>
      </w:pPr>
      <w:rPr>
        <w:rFonts w:ascii="Charter" w:hAnsi="Charter" w:cs="Charter" w:hint="default"/>
        <w:color w:val="011893"/>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5B1771"/>
    <w:multiLevelType w:val="hybridMultilevel"/>
    <w:tmpl w:val="FD2AF450"/>
    <w:lvl w:ilvl="0" w:tplc="F99EEC20">
      <w:start w:val="1"/>
      <w:numFmt w:val="bullet"/>
      <w:lvlText w:val=""/>
      <w:lvlJc w:val="left"/>
      <w:pPr>
        <w:ind w:left="720" w:hanging="360"/>
      </w:pPr>
      <w:rPr>
        <w:rFonts w:ascii="Wingdings" w:hAnsi="Wingdings" w:cs="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A1A64"/>
    <w:multiLevelType w:val="hybridMultilevel"/>
    <w:tmpl w:val="59800B92"/>
    <w:lvl w:ilvl="0" w:tplc="5BDC789A">
      <w:start w:val="1"/>
      <w:numFmt w:val="bullet"/>
      <w:lvlText w:val=""/>
      <w:lvlJc w:val="left"/>
      <w:pPr>
        <w:ind w:left="720" w:hanging="360"/>
      </w:pPr>
      <w:rPr>
        <w:rFonts w:ascii="Wingdings" w:hAnsi="Wingdings" w:hint="default"/>
        <w:color w:val="011893"/>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668B4"/>
    <w:multiLevelType w:val="hybridMultilevel"/>
    <w:tmpl w:val="27DA4BFC"/>
    <w:lvl w:ilvl="0" w:tplc="FBF8E65E">
      <w:start w:val="1"/>
      <w:numFmt w:val="decimal"/>
      <w:lvlText w:val="%1."/>
      <w:lvlJc w:val="left"/>
      <w:pPr>
        <w:ind w:left="720" w:hanging="360"/>
      </w:pPr>
      <w:rPr>
        <w:rFonts w:ascii="Merriweather Light" w:hAnsi="Merriweather Light" w:hint="default"/>
        <w:b/>
        <w:i w:val="0"/>
        <w:color w:val="01189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A2AEF"/>
    <w:multiLevelType w:val="hybridMultilevel"/>
    <w:tmpl w:val="95FC87D2"/>
    <w:lvl w:ilvl="0" w:tplc="06B8F9D8">
      <w:start w:val="1"/>
      <w:numFmt w:val="decimal"/>
      <w:lvlText w:val="%1."/>
      <w:lvlJc w:val="right"/>
      <w:pPr>
        <w:ind w:left="864" w:hanging="144"/>
      </w:pPr>
      <w:rPr>
        <w:rFonts w:ascii="Charter" w:hAnsi="Charter" w:cs="Charter" w:hint="default"/>
        <w:color w:val="011893"/>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AEE5093"/>
    <w:multiLevelType w:val="hybridMultilevel"/>
    <w:tmpl w:val="A1305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1235F6"/>
    <w:multiLevelType w:val="hybridMultilevel"/>
    <w:tmpl w:val="BE44E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136066"/>
    <w:multiLevelType w:val="hybridMultilevel"/>
    <w:tmpl w:val="6CD801CC"/>
    <w:lvl w:ilvl="0" w:tplc="6F50A8A2">
      <w:start w:val="1"/>
      <w:numFmt w:val="bullet"/>
      <w:lvlText w:val=""/>
      <w:lvlJc w:val="left"/>
      <w:pPr>
        <w:ind w:left="216" w:hanging="216"/>
      </w:pPr>
      <w:rPr>
        <w:rFonts w:ascii="Wingdings" w:hAnsi="Wingdings" w:cs="Wingdings" w:hint="default"/>
        <w:color w:val="45276A"/>
        <w:sz w:val="15"/>
        <w:u w:color="502D7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5AB720"/>
    <w:multiLevelType w:val="singleLevel"/>
    <w:tmpl w:val="3D9EDAA3"/>
    <w:lvl w:ilvl="0">
      <w:start w:val="1"/>
      <w:numFmt w:val="decimal"/>
      <w:lvlText w:val="%1."/>
      <w:lvlJc w:val="left"/>
      <w:pPr>
        <w:tabs>
          <w:tab w:val="num" w:pos="720"/>
        </w:tabs>
        <w:ind w:left="720" w:hanging="720"/>
      </w:pPr>
      <w:rPr>
        <w:color w:val="000000"/>
      </w:rPr>
    </w:lvl>
  </w:abstractNum>
  <w:abstractNum w:abstractNumId="15" w15:restartNumberingAfterBreak="0">
    <w:nsid w:val="1E9C74C9"/>
    <w:multiLevelType w:val="hybridMultilevel"/>
    <w:tmpl w:val="5EF43F7C"/>
    <w:lvl w:ilvl="0" w:tplc="EF066346">
      <w:start w:val="1"/>
      <w:numFmt w:val="bullet"/>
      <w:lvlText w:val=""/>
      <w:lvlJc w:val="left"/>
      <w:pPr>
        <w:ind w:left="144" w:hanging="144"/>
      </w:pPr>
      <w:rPr>
        <w:rFonts w:ascii="Wingdings" w:hAnsi="Wingdings" w:cs="Wingdings" w:hint="default"/>
        <w:color w:val="45276A"/>
        <w:sz w:val="15"/>
        <w:u w:color="502D7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C41018"/>
    <w:multiLevelType w:val="hybridMultilevel"/>
    <w:tmpl w:val="16947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604B9A"/>
    <w:multiLevelType w:val="multilevel"/>
    <w:tmpl w:val="D250E296"/>
    <w:lvl w:ilvl="0">
      <w:start w:val="1"/>
      <w:numFmt w:val="decimal"/>
      <w:lvlText w:val="%1."/>
      <w:lvlJc w:val="left"/>
      <w:pPr>
        <w:ind w:left="720" w:hanging="360"/>
      </w:pPr>
      <w:rPr>
        <w:b/>
        <w:color w:val="01189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3E18E7"/>
    <w:multiLevelType w:val="hybridMultilevel"/>
    <w:tmpl w:val="ABA2FE5C"/>
    <w:lvl w:ilvl="0" w:tplc="D68695C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932230B"/>
    <w:multiLevelType w:val="hybridMultilevel"/>
    <w:tmpl w:val="F104E780"/>
    <w:lvl w:ilvl="0" w:tplc="991C2DD2">
      <w:start w:val="1"/>
      <w:numFmt w:val="lowerLetter"/>
      <w:lvlText w:val="%1)"/>
      <w:lvlJc w:val="left"/>
      <w:pPr>
        <w:ind w:left="720" w:hanging="360"/>
      </w:pPr>
      <w:rPr>
        <w:color w:val="01189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9B38FA"/>
    <w:multiLevelType w:val="hybridMultilevel"/>
    <w:tmpl w:val="12860A08"/>
    <w:lvl w:ilvl="0" w:tplc="E760C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5B0D17"/>
    <w:multiLevelType w:val="hybridMultilevel"/>
    <w:tmpl w:val="16503C86"/>
    <w:lvl w:ilvl="0" w:tplc="5D82C140">
      <w:start w:val="1"/>
      <w:numFmt w:val="decimal"/>
      <w:lvlText w:val="%1-"/>
      <w:lvlJc w:val="left"/>
      <w:pPr>
        <w:ind w:left="720" w:hanging="360"/>
      </w:pPr>
      <w:rPr>
        <w:rFonts w:asciiTheme="majorBidi" w:eastAsia="Times New Roman"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C05937"/>
    <w:multiLevelType w:val="hybridMultilevel"/>
    <w:tmpl w:val="6C4AB61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74F7E5A"/>
    <w:multiLevelType w:val="hybridMultilevel"/>
    <w:tmpl w:val="1AB6FB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C025933"/>
    <w:multiLevelType w:val="hybridMultilevel"/>
    <w:tmpl w:val="3DD2F6BC"/>
    <w:lvl w:ilvl="0" w:tplc="12AEEBC0">
      <w:start w:val="1"/>
      <w:numFmt w:val="decimal"/>
      <w:lvlText w:val="%1."/>
      <w:lvlJc w:val="left"/>
      <w:pPr>
        <w:ind w:left="720" w:hanging="360"/>
      </w:pPr>
      <w:rPr>
        <w:rFonts w:ascii="Times New Roman" w:eastAsiaTheme="minorEastAsia"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24407E"/>
    <w:multiLevelType w:val="hybridMultilevel"/>
    <w:tmpl w:val="C24A0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801FFF"/>
    <w:multiLevelType w:val="multilevel"/>
    <w:tmpl w:val="70E6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1A0998"/>
    <w:multiLevelType w:val="hybridMultilevel"/>
    <w:tmpl w:val="C14AC3E2"/>
    <w:lvl w:ilvl="0" w:tplc="BED819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891D81"/>
    <w:multiLevelType w:val="hybridMultilevel"/>
    <w:tmpl w:val="FFFFFFFF"/>
    <w:lvl w:ilvl="0" w:tplc="4EAA1F90">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64081F4">
      <w:start w:val="1"/>
      <w:numFmt w:val="bullet"/>
      <w:lvlText w:val="o"/>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FFED480">
      <w:start w:val="1"/>
      <w:numFmt w:val="bullet"/>
      <w:lvlText w:val="▪"/>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D9EA6F0">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9EA22F6">
      <w:start w:val="1"/>
      <w:numFmt w:val="bullet"/>
      <w:lvlText w:val="o"/>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FFAB40E">
      <w:start w:val="1"/>
      <w:numFmt w:val="bullet"/>
      <w:lvlText w:val="▪"/>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1AFBEC">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88031D0">
      <w:start w:val="1"/>
      <w:numFmt w:val="bullet"/>
      <w:lvlText w:val="o"/>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91EC59A">
      <w:start w:val="1"/>
      <w:numFmt w:val="bullet"/>
      <w:lvlText w:val="▪"/>
      <w:lvlJc w:val="left"/>
      <w:pPr>
        <w:ind w:left="7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4B442AE6"/>
    <w:multiLevelType w:val="hybridMultilevel"/>
    <w:tmpl w:val="E5F2288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9C6CC7"/>
    <w:multiLevelType w:val="hybridMultilevel"/>
    <w:tmpl w:val="7E90E498"/>
    <w:lvl w:ilvl="0" w:tplc="1F266C4C">
      <w:start w:val="1"/>
      <w:numFmt w:val="decimal"/>
      <w:lvlText w:val="%1."/>
      <w:lvlJc w:val="left"/>
      <w:pPr>
        <w:ind w:left="780" w:hanging="360"/>
      </w:pPr>
      <w:rPr>
        <w:color w:val="011793"/>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1" w15:restartNumberingAfterBreak="0">
    <w:nsid w:val="57774868"/>
    <w:multiLevelType w:val="hybridMultilevel"/>
    <w:tmpl w:val="7AFEE164"/>
    <w:lvl w:ilvl="0" w:tplc="3DB4A15A">
      <w:start w:val="1"/>
      <w:numFmt w:val="lowerLetter"/>
      <w:lvlText w:val="%1-"/>
      <w:lvlJc w:val="left"/>
      <w:pPr>
        <w:ind w:left="630" w:hanging="360"/>
      </w:pPr>
      <w:rPr>
        <w:rFonts w:ascii="Merriweather Light" w:hAnsi="Merriweather Ligh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535539"/>
    <w:multiLevelType w:val="hybridMultilevel"/>
    <w:tmpl w:val="86A88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520AD0"/>
    <w:multiLevelType w:val="hybridMultilevel"/>
    <w:tmpl w:val="F26CD530"/>
    <w:lvl w:ilvl="0" w:tplc="FBF8E65E">
      <w:start w:val="1"/>
      <w:numFmt w:val="decimal"/>
      <w:lvlText w:val="%1."/>
      <w:lvlJc w:val="left"/>
      <w:pPr>
        <w:ind w:left="720" w:hanging="360"/>
      </w:pPr>
      <w:rPr>
        <w:rFonts w:ascii="Merriweather Light" w:hAnsi="Merriweather Light" w:hint="default"/>
        <w:b/>
        <w:i w:val="0"/>
        <w:color w:val="01189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97268"/>
    <w:multiLevelType w:val="multilevel"/>
    <w:tmpl w:val="C912555C"/>
    <w:lvl w:ilvl="0">
      <w:start w:val="1"/>
      <w:numFmt w:val="bullet"/>
      <w:lvlText w:val=""/>
      <w:lvlJc w:val="left"/>
      <w:pPr>
        <w:ind w:left="720" w:hanging="360"/>
      </w:pPr>
      <w:rPr>
        <w:rFonts w:ascii="Wingdings" w:hAnsi="Wingdings" w:hint="default"/>
        <w:color w:val="011893"/>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1CD37F8"/>
    <w:multiLevelType w:val="hybridMultilevel"/>
    <w:tmpl w:val="AF2EFD9A"/>
    <w:lvl w:ilvl="0" w:tplc="945AC9EE">
      <w:start w:val="1"/>
      <w:numFmt w:val="bullet"/>
      <w:lvlText w:val=""/>
      <w:lvlJc w:val="left"/>
      <w:pPr>
        <w:ind w:left="780" w:hanging="360"/>
      </w:pPr>
      <w:rPr>
        <w:rFonts w:ascii="Wingdings" w:hAnsi="Wingdings" w:hint="default"/>
        <w:color w:val="011893"/>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63CE235E"/>
    <w:multiLevelType w:val="hybridMultilevel"/>
    <w:tmpl w:val="0C022314"/>
    <w:lvl w:ilvl="0" w:tplc="7E96B6E2">
      <w:start w:val="1"/>
      <w:numFmt w:val="decimal"/>
      <w:lvlText w:val="%1."/>
      <w:lvlJc w:val="right"/>
      <w:pPr>
        <w:ind w:left="720" w:hanging="360"/>
      </w:pPr>
      <w:rPr>
        <w:rFonts w:ascii="Charter" w:hAnsi="Charter" w:cs="Charter" w:hint="default"/>
        <w:color w:val="01189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5E5626"/>
    <w:multiLevelType w:val="hybridMultilevel"/>
    <w:tmpl w:val="416AEA00"/>
    <w:lvl w:ilvl="0" w:tplc="F544E59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3A1B92"/>
    <w:multiLevelType w:val="multilevel"/>
    <w:tmpl w:val="D250E296"/>
    <w:lvl w:ilvl="0">
      <w:start w:val="1"/>
      <w:numFmt w:val="decimal"/>
      <w:lvlText w:val="%1."/>
      <w:lvlJc w:val="left"/>
      <w:pPr>
        <w:ind w:left="720" w:hanging="360"/>
      </w:pPr>
      <w:rPr>
        <w:b/>
        <w:color w:val="01189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7B5CB8"/>
    <w:multiLevelType w:val="hybridMultilevel"/>
    <w:tmpl w:val="78D26D98"/>
    <w:lvl w:ilvl="0" w:tplc="AFAE2F3C">
      <w:start w:val="1"/>
      <w:numFmt w:val="bullet"/>
      <w:lvlText w:val=""/>
      <w:lvlJc w:val="left"/>
      <w:pPr>
        <w:ind w:left="720" w:hanging="360"/>
      </w:pPr>
      <w:rPr>
        <w:rFonts w:ascii="Wingdings" w:hAnsi="Wingdings" w:cs="Wingdings" w:hint="default"/>
        <w:color w:val="502D7A"/>
        <w:sz w:val="15"/>
        <w:u w:color="502D7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911C31"/>
    <w:multiLevelType w:val="hybridMultilevel"/>
    <w:tmpl w:val="5388EF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621963"/>
    <w:multiLevelType w:val="hybridMultilevel"/>
    <w:tmpl w:val="9F68F996"/>
    <w:lvl w:ilvl="0" w:tplc="A5F8B5A8">
      <w:start w:val="1"/>
      <w:numFmt w:val="bullet"/>
      <w:lvlText w:val=""/>
      <w:lvlJc w:val="left"/>
      <w:pPr>
        <w:ind w:left="720" w:hanging="360"/>
      </w:pPr>
      <w:rPr>
        <w:rFonts w:ascii="Wingdings" w:hAnsi="Wingdings" w:hint="default"/>
        <w:color w:val="011893"/>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340D3F"/>
    <w:multiLevelType w:val="hybridMultilevel"/>
    <w:tmpl w:val="DBDE8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B401F"/>
    <w:multiLevelType w:val="hybridMultilevel"/>
    <w:tmpl w:val="697AD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1A7483"/>
    <w:multiLevelType w:val="hybridMultilevel"/>
    <w:tmpl w:val="85C432C0"/>
    <w:lvl w:ilvl="0" w:tplc="091011F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5" w15:restartNumberingAfterBreak="0">
    <w:nsid w:val="786925B9"/>
    <w:multiLevelType w:val="hybridMultilevel"/>
    <w:tmpl w:val="D2EA093C"/>
    <w:lvl w:ilvl="0" w:tplc="FBF8E65E">
      <w:start w:val="1"/>
      <w:numFmt w:val="decimal"/>
      <w:lvlText w:val="%1."/>
      <w:lvlJc w:val="left"/>
      <w:pPr>
        <w:ind w:left="720" w:hanging="360"/>
      </w:pPr>
      <w:rPr>
        <w:rFonts w:ascii="Merriweather Light" w:hAnsi="Merriweather Light" w:hint="default"/>
        <w:b/>
        <w:i w:val="0"/>
        <w:color w:val="01189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E461CE"/>
    <w:multiLevelType w:val="hybridMultilevel"/>
    <w:tmpl w:val="C91CB056"/>
    <w:lvl w:ilvl="0" w:tplc="6EEA941C">
      <w:start w:val="1"/>
      <w:numFmt w:val="bullet"/>
      <w:lvlText w:val=""/>
      <w:lvlJc w:val="left"/>
      <w:pPr>
        <w:ind w:left="720" w:hanging="360"/>
      </w:pPr>
      <w:rPr>
        <w:rFonts w:ascii="Wingdings" w:hAnsi="Wingdings" w:hint="default"/>
        <w:color w:val="011893"/>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12"/>
  </w:num>
  <w:num w:numId="4">
    <w:abstractNumId w:val="18"/>
  </w:num>
  <w:num w:numId="5">
    <w:abstractNumId w:val="27"/>
  </w:num>
  <w:num w:numId="6">
    <w:abstractNumId w:val="43"/>
  </w:num>
  <w:num w:numId="7">
    <w:abstractNumId w:val="42"/>
  </w:num>
  <w:num w:numId="8">
    <w:abstractNumId w:val="23"/>
  </w:num>
  <w:num w:numId="9">
    <w:abstractNumId w:val="0"/>
  </w:num>
  <w:num w:numId="10">
    <w:abstractNumId w:val="22"/>
  </w:num>
  <w:num w:numId="11">
    <w:abstractNumId w:val="13"/>
  </w:num>
  <w:num w:numId="12">
    <w:abstractNumId w:val="39"/>
  </w:num>
  <w:num w:numId="13">
    <w:abstractNumId w:val="15"/>
  </w:num>
  <w:num w:numId="14">
    <w:abstractNumId w:val="21"/>
  </w:num>
  <w:num w:numId="15">
    <w:abstractNumId w:val="6"/>
  </w:num>
  <w:num w:numId="16">
    <w:abstractNumId w:val="10"/>
  </w:num>
  <w:num w:numId="17">
    <w:abstractNumId w:val="1"/>
  </w:num>
  <w:num w:numId="18">
    <w:abstractNumId w:val="24"/>
  </w:num>
  <w:num w:numId="19">
    <w:abstractNumId w:val="14"/>
    <w:lvlOverride w:ilvl="0">
      <w:startOverride w:val="1"/>
    </w:lvlOverride>
  </w:num>
  <w:num w:numId="20">
    <w:abstractNumId w:val="20"/>
  </w:num>
  <w:num w:numId="21">
    <w:abstractNumId w:val="32"/>
  </w:num>
  <w:num w:numId="22">
    <w:abstractNumId w:val="40"/>
  </w:num>
  <w:num w:numId="23">
    <w:abstractNumId w:val="28"/>
  </w:num>
  <w:num w:numId="24">
    <w:abstractNumId w:val="11"/>
  </w:num>
  <w:num w:numId="25">
    <w:abstractNumId w:val="31"/>
  </w:num>
  <w:num w:numId="26">
    <w:abstractNumId w:val="36"/>
  </w:num>
  <w:num w:numId="27">
    <w:abstractNumId w:val="44"/>
  </w:num>
  <w:num w:numId="28">
    <w:abstractNumId w:val="30"/>
  </w:num>
  <w:num w:numId="29">
    <w:abstractNumId w:val="41"/>
  </w:num>
  <w:num w:numId="30">
    <w:abstractNumId w:val="46"/>
  </w:num>
  <w:num w:numId="31">
    <w:abstractNumId w:val="35"/>
  </w:num>
  <w:num w:numId="32">
    <w:abstractNumId w:val="8"/>
  </w:num>
  <w:num w:numId="33">
    <w:abstractNumId w:val="19"/>
  </w:num>
  <w:num w:numId="34">
    <w:abstractNumId w:val="34"/>
  </w:num>
  <w:num w:numId="35">
    <w:abstractNumId w:val="38"/>
  </w:num>
  <w:num w:numId="36">
    <w:abstractNumId w:val="9"/>
  </w:num>
  <w:num w:numId="37">
    <w:abstractNumId w:val="17"/>
  </w:num>
  <w:num w:numId="38">
    <w:abstractNumId w:val="2"/>
  </w:num>
  <w:num w:numId="39">
    <w:abstractNumId w:val="25"/>
  </w:num>
  <w:num w:numId="40">
    <w:abstractNumId w:val="7"/>
  </w:num>
  <w:num w:numId="41">
    <w:abstractNumId w:val="3"/>
  </w:num>
  <w:num w:numId="42">
    <w:abstractNumId w:val="45"/>
  </w:num>
  <w:num w:numId="43">
    <w:abstractNumId w:val="37"/>
  </w:num>
  <w:num w:numId="44">
    <w:abstractNumId w:val="29"/>
  </w:num>
  <w:num w:numId="45">
    <w:abstractNumId w:val="16"/>
  </w:num>
  <w:num w:numId="46">
    <w:abstractNumId w:val="33"/>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cwMTE1MTKzNDW0NLNQ0lEKTi0uzszPAykwrAUADHPTOiwAAAA="/>
  </w:docVars>
  <w:rsids>
    <w:rsidRoot w:val="00AE630D"/>
    <w:rsid w:val="00000F07"/>
    <w:rsid w:val="00032584"/>
    <w:rsid w:val="00037A99"/>
    <w:rsid w:val="000540C4"/>
    <w:rsid w:val="00054EED"/>
    <w:rsid w:val="000557E0"/>
    <w:rsid w:val="0006329B"/>
    <w:rsid w:val="0006591B"/>
    <w:rsid w:val="000739A9"/>
    <w:rsid w:val="000A4F7C"/>
    <w:rsid w:val="000A515B"/>
    <w:rsid w:val="000B39A3"/>
    <w:rsid w:val="000C0B10"/>
    <w:rsid w:val="000C5915"/>
    <w:rsid w:val="000C787B"/>
    <w:rsid w:val="000D777D"/>
    <w:rsid w:val="000E186A"/>
    <w:rsid w:val="000E4CC0"/>
    <w:rsid w:val="000E7D0D"/>
    <w:rsid w:val="000F0C05"/>
    <w:rsid w:val="000F1364"/>
    <w:rsid w:val="000F1DCC"/>
    <w:rsid w:val="00104ADD"/>
    <w:rsid w:val="00104E9B"/>
    <w:rsid w:val="0012113A"/>
    <w:rsid w:val="00126AB7"/>
    <w:rsid w:val="00131CCD"/>
    <w:rsid w:val="001358A2"/>
    <w:rsid w:val="001408CE"/>
    <w:rsid w:val="00142971"/>
    <w:rsid w:val="00143A27"/>
    <w:rsid w:val="00145E14"/>
    <w:rsid w:val="00164C3D"/>
    <w:rsid w:val="0016685B"/>
    <w:rsid w:val="00175432"/>
    <w:rsid w:val="00183A2B"/>
    <w:rsid w:val="0018499B"/>
    <w:rsid w:val="00191E52"/>
    <w:rsid w:val="00196FDC"/>
    <w:rsid w:val="001A007B"/>
    <w:rsid w:val="001A2274"/>
    <w:rsid w:val="001A4525"/>
    <w:rsid w:val="001A5D3F"/>
    <w:rsid w:val="001A7073"/>
    <w:rsid w:val="001C03BB"/>
    <w:rsid w:val="001C07B4"/>
    <w:rsid w:val="001C410E"/>
    <w:rsid w:val="001D18D2"/>
    <w:rsid w:val="001E2CC0"/>
    <w:rsid w:val="001E3FAF"/>
    <w:rsid w:val="001F1F5B"/>
    <w:rsid w:val="001F51C3"/>
    <w:rsid w:val="001F690E"/>
    <w:rsid w:val="00210F08"/>
    <w:rsid w:val="00216CA6"/>
    <w:rsid w:val="002170D9"/>
    <w:rsid w:val="00220F06"/>
    <w:rsid w:val="00222439"/>
    <w:rsid w:val="00224612"/>
    <w:rsid w:val="00236F76"/>
    <w:rsid w:val="00250B51"/>
    <w:rsid w:val="00256241"/>
    <w:rsid w:val="0025689B"/>
    <w:rsid w:val="002633AA"/>
    <w:rsid w:val="002678CD"/>
    <w:rsid w:val="00275127"/>
    <w:rsid w:val="00281CBA"/>
    <w:rsid w:val="002870B4"/>
    <w:rsid w:val="00291E93"/>
    <w:rsid w:val="00293FC7"/>
    <w:rsid w:val="002A5977"/>
    <w:rsid w:val="002A6FEA"/>
    <w:rsid w:val="002B33DC"/>
    <w:rsid w:val="002B3517"/>
    <w:rsid w:val="002B706C"/>
    <w:rsid w:val="002C4349"/>
    <w:rsid w:val="002C759C"/>
    <w:rsid w:val="002D2BBB"/>
    <w:rsid w:val="002D2F9B"/>
    <w:rsid w:val="002D7B64"/>
    <w:rsid w:val="002E48A7"/>
    <w:rsid w:val="002E4AC0"/>
    <w:rsid w:val="002E6D7C"/>
    <w:rsid w:val="002E742B"/>
    <w:rsid w:val="002F2552"/>
    <w:rsid w:val="002F3F34"/>
    <w:rsid w:val="002F7A72"/>
    <w:rsid w:val="00303DC9"/>
    <w:rsid w:val="0030497B"/>
    <w:rsid w:val="00310A50"/>
    <w:rsid w:val="003210AB"/>
    <w:rsid w:val="00324DD4"/>
    <w:rsid w:val="003307C9"/>
    <w:rsid w:val="00331CD6"/>
    <w:rsid w:val="003430D8"/>
    <w:rsid w:val="003444D3"/>
    <w:rsid w:val="00352BD9"/>
    <w:rsid w:val="003577D8"/>
    <w:rsid w:val="00360007"/>
    <w:rsid w:val="00396EFD"/>
    <w:rsid w:val="00397DEE"/>
    <w:rsid w:val="003A3367"/>
    <w:rsid w:val="003B3477"/>
    <w:rsid w:val="003B4291"/>
    <w:rsid w:val="003B6EEE"/>
    <w:rsid w:val="003C69D9"/>
    <w:rsid w:val="003D2541"/>
    <w:rsid w:val="003D4D78"/>
    <w:rsid w:val="003E228E"/>
    <w:rsid w:val="003E4B1F"/>
    <w:rsid w:val="003E6B9C"/>
    <w:rsid w:val="003F10B7"/>
    <w:rsid w:val="003F5A69"/>
    <w:rsid w:val="003F6EF9"/>
    <w:rsid w:val="003F725D"/>
    <w:rsid w:val="00400A3C"/>
    <w:rsid w:val="004046DF"/>
    <w:rsid w:val="00411472"/>
    <w:rsid w:val="0041716A"/>
    <w:rsid w:val="00433A43"/>
    <w:rsid w:val="00442113"/>
    <w:rsid w:val="00446986"/>
    <w:rsid w:val="00457086"/>
    <w:rsid w:val="004570D4"/>
    <w:rsid w:val="00457994"/>
    <w:rsid w:val="00457AF8"/>
    <w:rsid w:val="00461286"/>
    <w:rsid w:val="0046549D"/>
    <w:rsid w:val="00467971"/>
    <w:rsid w:val="004726BE"/>
    <w:rsid w:val="004766C3"/>
    <w:rsid w:val="004771D3"/>
    <w:rsid w:val="00484B94"/>
    <w:rsid w:val="00485393"/>
    <w:rsid w:val="004A5143"/>
    <w:rsid w:val="004A55C0"/>
    <w:rsid w:val="004C200A"/>
    <w:rsid w:val="004C2880"/>
    <w:rsid w:val="004D09FB"/>
    <w:rsid w:val="004D3024"/>
    <w:rsid w:val="004D7316"/>
    <w:rsid w:val="004E0ECB"/>
    <w:rsid w:val="004E5DF9"/>
    <w:rsid w:val="004F1390"/>
    <w:rsid w:val="004F6EF2"/>
    <w:rsid w:val="0050405B"/>
    <w:rsid w:val="00505BB1"/>
    <w:rsid w:val="00515512"/>
    <w:rsid w:val="00517F9C"/>
    <w:rsid w:val="005258F7"/>
    <w:rsid w:val="00530799"/>
    <w:rsid w:val="005317A7"/>
    <w:rsid w:val="005331E0"/>
    <w:rsid w:val="00564AFB"/>
    <w:rsid w:val="005655DE"/>
    <w:rsid w:val="0058528D"/>
    <w:rsid w:val="00585F29"/>
    <w:rsid w:val="00591151"/>
    <w:rsid w:val="00592418"/>
    <w:rsid w:val="005925BD"/>
    <w:rsid w:val="00592C6F"/>
    <w:rsid w:val="005B092B"/>
    <w:rsid w:val="005B0C06"/>
    <w:rsid w:val="005B4824"/>
    <w:rsid w:val="005C0BF4"/>
    <w:rsid w:val="005D1AD2"/>
    <w:rsid w:val="005D4BE0"/>
    <w:rsid w:val="005D6FBF"/>
    <w:rsid w:val="005E6365"/>
    <w:rsid w:val="005F0160"/>
    <w:rsid w:val="005F4473"/>
    <w:rsid w:val="005F6B84"/>
    <w:rsid w:val="00600EFD"/>
    <w:rsid w:val="0060544B"/>
    <w:rsid w:val="00615705"/>
    <w:rsid w:val="00616F49"/>
    <w:rsid w:val="00617152"/>
    <w:rsid w:val="00617153"/>
    <w:rsid w:val="00625682"/>
    <w:rsid w:val="006378EC"/>
    <w:rsid w:val="006402F0"/>
    <w:rsid w:val="00640931"/>
    <w:rsid w:val="00640F62"/>
    <w:rsid w:val="00641D73"/>
    <w:rsid w:val="006431C6"/>
    <w:rsid w:val="00651FE7"/>
    <w:rsid w:val="00654B95"/>
    <w:rsid w:val="00655749"/>
    <w:rsid w:val="006572ED"/>
    <w:rsid w:val="006574A1"/>
    <w:rsid w:val="00660DF4"/>
    <w:rsid w:val="006635FF"/>
    <w:rsid w:val="0066467A"/>
    <w:rsid w:val="00672068"/>
    <w:rsid w:val="00672F0B"/>
    <w:rsid w:val="00673C12"/>
    <w:rsid w:val="00675ED6"/>
    <w:rsid w:val="006809F5"/>
    <w:rsid w:val="0068109A"/>
    <w:rsid w:val="00685545"/>
    <w:rsid w:val="00690AB0"/>
    <w:rsid w:val="006914EE"/>
    <w:rsid w:val="00693EF8"/>
    <w:rsid w:val="006A181A"/>
    <w:rsid w:val="006A5150"/>
    <w:rsid w:val="006B052C"/>
    <w:rsid w:val="006B7566"/>
    <w:rsid w:val="006C2B07"/>
    <w:rsid w:val="006F2960"/>
    <w:rsid w:val="006F4756"/>
    <w:rsid w:val="0070520C"/>
    <w:rsid w:val="007056BF"/>
    <w:rsid w:val="00713DB8"/>
    <w:rsid w:val="0072425C"/>
    <w:rsid w:val="0072620E"/>
    <w:rsid w:val="00735999"/>
    <w:rsid w:val="007428B3"/>
    <w:rsid w:val="00743292"/>
    <w:rsid w:val="00787ABE"/>
    <w:rsid w:val="00790E43"/>
    <w:rsid w:val="00796860"/>
    <w:rsid w:val="007A2416"/>
    <w:rsid w:val="007A5652"/>
    <w:rsid w:val="007A7756"/>
    <w:rsid w:val="007C27B0"/>
    <w:rsid w:val="007C7D4F"/>
    <w:rsid w:val="007D1BCD"/>
    <w:rsid w:val="007D5A2C"/>
    <w:rsid w:val="007D7D47"/>
    <w:rsid w:val="007E116C"/>
    <w:rsid w:val="007E3813"/>
    <w:rsid w:val="007F1D8D"/>
    <w:rsid w:val="0080679C"/>
    <w:rsid w:val="00821BC8"/>
    <w:rsid w:val="00826DF9"/>
    <w:rsid w:val="008303B6"/>
    <w:rsid w:val="00831022"/>
    <w:rsid w:val="00831C51"/>
    <w:rsid w:val="00833B80"/>
    <w:rsid w:val="00834E05"/>
    <w:rsid w:val="00834F83"/>
    <w:rsid w:val="00836562"/>
    <w:rsid w:val="00842B03"/>
    <w:rsid w:val="00843742"/>
    <w:rsid w:val="008440E3"/>
    <w:rsid w:val="00850A5E"/>
    <w:rsid w:val="008524F4"/>
    <w:rsid w:val="00854ECA"/>
    <w:rsid w:val="00860B21"/>
    <w:rsid w:val="00864798"/>
    <w:rsid w:val="008754C5"/>
    <w:rsid w:val="00884E1B"/>
    <w:rsid w:val="0088733E"/>
    <w:rsid w:val="00887DB6"/>
    <w:rsid w:val="00897C49"/>
    <w:rsid w:val="008A7F4A"/>
    <w:rsid w:val="008B2262"/>
    <w:rsid w:val="008B392E"/>
    <w:rsid w:val="008C6477"/>
    <w:rsid w:val="008C6877"/>
    <w:rsid w:val="008C765C"/>
    <w:rsid w:val="008D7A23"/>
    <w:rsid w:val="008E029B"/>
    <w:rsid w:val="008E3221"/>
    <w:rsid w:val="008E4D4A"/>
    <w:rsid w:val="008F12BC"/>
    <w:rsid w:val="0090173F"/>
    <w:rsid w:val="009075CB"/>
    <w:rsid w:val="00912284"/>
    <w:rsid w:val="009172F6"/>
    <w:rsid w:val="00933220"/>
    <w:rsid w:val="00935B4F"/>
    <w:rsid w:val="0094174C"/>
    <w:rsid w:val="0095219C"/>
    <w:rsid w:val="00962861"/>
    <w:rsid w:val="009629C3"/>
    <w:rsid w:val="009730C6"/>
    <w:rsid w:val="00974D2A"/>
    <w:rsid w:val="00976AD9"/>
    <w:rsid w:val="00990A9B"/>
    <w:rsid w:val="009932F2"/>
    <w:rsid w:val="00995CF0"/>
    <w:rsid w:val="009A2B5D"/>
    <w:rsid w:val="009A3057"/>
    <w:rsid w:val="009A408A"/>
    <w:rsid w:val="009A5792"/>
    <w:rsid w:val="009C27A4"/>
    <w:rsid w:val="009C3558"/>
    <w:rsid w:val="009C69E9"/>
    <w:rsid w:val="009E76B3"/>
    <w:rsid w:val="009F1680"/>
    <w:rsid w:val="009F3A8A"/>
    <w:rsid w:val="009F4863"/>
    <w:rsid w:val="009F4EE0"/>
    <w:rsid w:val="009F6027"/>
    <w:rsid w:val="009F74C6"/>
    <w:rsid w:val="009F7C5C"/>
    <w:rsid w:val="00A02F6F"/>
    <w:rsid w:val="00A11B03"/>
    <w:rsid w:val="00A17886"/>
    <w:rsid w:val="00A314A1"/>
    <w:rsid w:val="00A40582"/>
    <w:rsid w:val="00A435F2"/>
    <w:rsid w:val="00A45C9C"/>
    <w:rsid w:val="00A4768E"/>
    <w:rsid w:val="00A53F82"/>
    <w:rsid w:val="00A54A74"/>
    <w:rsid w:val="00A568C7"/>
    <w:rsid w:val="00A56A34"/>
    <w:rsid w:val="00A57628"/>
    <w:rsid w:val="00A63A47"/>
    <w:rsid w:val="00A81EC5"/>
    <w:rsid w:val="00A83189"/>
    <w:rsid w:val="00A91661"/>
    <w:rsid w:val="00A945B6"/>
    <w:rsid w:val="00AA3955"/>
    <w:rsid w:val="00AB200E"/>
    <w:rsid w:val="00AB2C90"/>
    <w:rsid w:val="00AB7DD6"/>
    <w:rsid w:val="00AD051A"/>
    <w:rsid w:val="00AD17F1"/>
    <w:rsid w:val="00AD67E9"/>
    <w:rsid w:val="00AE10D3"/>
    <w:rsid w:val="00AE50A0"/>
    <w:rsid w:val="00AE630D"/>
    <w:rsid w:val="00AE64A8"/>
    <w:rsid w:val="00AF0578"/>
    <w:rsid w:val="00B01937"/>
    <w:rsid w:val="00B13B1C"/>
    <w:rsid w:val="00B148D4"/>
    <w:rsid w:val="00B162DC"/>
    <w:rsid w:val="00B17AED"/>
    <w:rsid w:val="00B21F0B"/>
    <w:rsid w:val="00B2693B"/>
    <w:rsid w:val="00B273DD"/>
    <w:rsid w:val="00B30AFB"/>
    <w:rsid w:val="00B35720"/>
    <w:rsid w:val="00B45177"/>
    <w:rsid w:val="00B55273"/>
    <w:rsid w:val="00B64F28"/>
    <w:rsid w:val="00B673F7"/>
    <w:rsid w:val="00B726A4"/>
    <w:rsid w:val="00B8016B"/>
    <w:rsid w:val="00B80C87"/>
    <w:rsid w:val="00B93E2B"/>
    <w:rsid w:val="00BA3754"/>
    <w:rsid w:val="00BA3876"/>
    <w:rsid w:val="00BA5A85"/>
    <w:rsid w:val="00BA66D4"/>
    <w:rsid w:val="00BB1535"/>
    <w:rsid w:val="00BB2FCA"/>
    <w:rsid w:val="00BC2531"/>
    <w:rsid w:val="00BD1187"/>
    <w:rsid w:val="00BE1333"/>
    <w:rsid w:val="00BE501F"/>
    <w:rsid w:val="00BE5158"/>
    <w:rsid w:val="00BF353E"/>
    <w:rsid w:val="00C04642"/>
    <w:rsid w:val="00C1183E"/>
    <w:rsid w:val="00C11E7E"/>
    <w:rsid w:val="00C25EA7"/>
    <w:rsid w:val="00C41796"/>
    <w:rsid w:val="00C45FEA"/>
    <w:rsid w:val="00C5612C"/>
    <w:rsid w:val="00C56C8F"/>
    <w:rsid w:val="00C615AF"/>
    <w:rsid w:val="00C72883"/>
    <w:rsid w:val="00C72F10"/>
    <w:rsid w:val="00C73497"/>
    <w:rsid w:val="00C83957"/>
    <w:rsid w:val="00C84247"/>
    <w:rsid w:val="00C86482"/>
    <w:rsid w:val="00CA0D82"/>
    <w:rsid w:val="00CA4ACE"/>
    <w:rsid w:val="00CA65B3"/>
    <w:rsid w:val="00CB03C3"/>
    <w:rsid w:val="00CC00CF"/>
    <w:rsid w:val="00CC3C17"/>
    <w:rsid w:val="00CC70E5"/>
    <w:rsid w:val="00CC74BC"/>
    <w:rsid w:val="00CD0938"/>
    <w:rsid w:val="00CD2808"/>
    <w:rsid w:val="00CD29EF"/>
    <w:rsid w:val="00CE7769"/>
    <w:rsid w:val="00CF408A"/>
    <w:rsid w:val="00CF40DA"/>
    <w:rsid w:val="00D0544D"/>
    <w:rsid w:val="00D05463"/>
    <w:rsid w:val="00D11CF3"/>
    <w:rsid w:val="00D2285A"/>
    <w:rsid w:val="00D22E23"/>
    <w:rsid w:val="00D40C5A"/>
    <w:rsid w:val="00D45AB6"/>
    <w:rsid w:val="00D475E2"/>
    <w:rsid w:val="00D538D3"/>
    <w:rsid w:val="00D576B6"/>
    <w:rsid w:val="00D62189"/>
    <w:rsid w:val="00D749F9"/>
    <w:rsid w:val="00D753B2"/>
    <w:rsid w:val="00D931E3"/>
    <w:rsid w:val="00D93ADA"/>
    <w:rsid w:val="00DA36A5"/>
    <w:rsid w:val="00DA751F"/>
    <w:rsid w:val="00DB0E17"/>
    <w:rsid w:val="00DB367D"/>
    <w:rsid w:val="00DB37CC"/>
    <w:rsid w:val="00DB66B7"/>
    <w:rsid w:val="00DC08FF"/>
    <w:rsid w:val="00DC0B30"/>
    <w:rsid w:val="00DC0EE7"/>
    <w:rsid w:val="00DC5E6F"/>
    <w:rsid w:val="00DC5FA3"/>
    <w:rsid w:val="00DE65D6"/>
    <w:rsid w:val="00E025B4"/>
    <w:rsid w:val="00E12F10"/>
    <w:rsid w:val="00E13E43"/>
    <w:rsid w:val="00E16123"/>
    <w:rsid w:val="00E24FAF"/>
    <w:rsid w:val="00E2747D"/>
    <w:rsid w:val="00E42532"/>
    <w:rsid w:val="00E46F83"/>
    <w:rsid w:val="00E53ADE"/>
    <w:rsid w:val="00E57C73"/>
    <w:rsid w:val="00E64CAE"/>
    <w:rsid w:val="00E65489"/>
    <w:rsid w:val="00E71D2F"/>
    <w:rsid w:val="00E74676"/>
    <w:rsid w:val="00E76AEB"/>
    <w:rsid w:val="00E85F56"/>
    <w:rsid w:val="00E8638B"/>
    <w:rsid w:val="00E87C5D"/>
    <w:rsid w:val="00E91E3D"/>
    <w:rsid w:val="00E94D42"/>
    <w:rsid w:val="00E956CB"/>
    <w:rsid w:val="00E95FC9"/>
    <w:rsid w:val="00EA21CD"/>
    <w:rsid w:val="00EA6AF2"/>
    <w:rsid w:val="00EB75D1"/>
    <w:rsid w:val="00EC1C9F"/>
    <w:rsid w:val="00EC4FED"/>
    <w:rsid w:val="00EC5D2B"/>
    <w:rsid w:val="00EC6A62"/>
    <w:rsid w:val="00ED1E88"/>
    <w:rsid w:val="00ED2D65"/>
    <w:rsid w:val="00EE4072"/>
    <w:rsid w:val="00EE4126"/>
    <w:rsid w:val="00EE7668"/>
    <w:rsid w:val="00EF1800"/>
    <w:rsid w:val="00EF6839"/>
    <w:rsid w:val="00F00023"/>
    <w:rsid w:val="00F01435"/>
    <w:rsid w:val="00F02E0D"/>
    <w:rsid w:val="00F03B68"/>
    <w:rsid w:val="00F06CCB"/>
    <w:rsid w:val="00F204F3"/>
    <w:rsid w:val="00F37574"/>
    <w:rsid w:val="00F40C58"/>
    <w:rsid w:val="00F4196E"/>
    <w:rsid w:val="00F44672"/>
    <w:rsid w:val="00F51142"/>
    <w:rsid w:val="00F52FA5"/>
    <w:rsid w:val="00F61BF7"/>
    <w:rsid w:val="00F63247"/>
    <w:rsid w:val="00F7546B"/>
    <w:rsid w:val="00F939ED"/>
    <w:rsid w:val="00F96EDA"/>
    <w:rsid w:val="00F97ABF"/>
    <w:rsid w:val="00FA4C92"/>
    <w:rsid w:val="00FB2A45"/>
    <w:rsid w:val="00FB67B7"/>
    <w:rsid w:val="00FB754B"/>
    <w:rsid w:val="00FC6C80"/>
    <w:rsid w:val="00FD6135"/>
    <w:rsid w:val="00FE0E0A"/>
    <w:rsid w:val="00FE48DA"/>
    <w:rsid w:val="00FE511A"/>
    <w:rsid w:val="00FF1A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1777B"/>
  <w15:chartTrackingRefBased/>
  <w15:docId w15:val="{60611F6F-04FB-B24D-8D23-FD20A41F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8A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990A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69E9"/>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9C69E9"/>
    <w:pPr>
      <w:keepNext/>
      <w:keepLines/>
      <w:widowControl w:val="0"/>
      <w:autoSpaceDE w:val="0"/>
      <w:autoSpaceDN w:val="0"/>
      <w:spacing w:before="200"/>
      <w:outlineLvl w:val="2"/>
    </w:pPr>
    <w:rPr>
      <w:rFonts w:asciiTheme="majorHAnsi" w:eastAsiaTheme="majorEastAsia" w:hAnsiTheme="majorHAnsi" w:cstheme="majorBidi"/>
      <w:b/>
      <w:bCs/>
      <w:color w:val="4472C4"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E630D"/>
    <w:rPr>
      <w:b/>
      <w:bCs/>
    </w:rPr>
  </w:style>
  <w:style w:type="paragraph" w:styleId="ListParagraph">
    <w:name w:val="List Paragraph"/>
    <w:basedOn w:val="Normal"/>
    <w:link w:val="ListParagraphChar"/>
    <w:uiPriority w:val="34"/>
    <w:qFormat/>
    <w:rsid w:val="008C6477"/>
    <w:pPr>
      <w:ind w:left="720"/>
      <w:contextualSpacing/>
    </w:pPr>
  </w:style>
  <w:style w:type="table" w:styleId="TableGrid">
    <w:name w:val="Table Grid"/>
    <w:basedOn w:val="TableNormal"/>
    <w:uiPriority w:val="39"/>
    <w:qFormat/>
    <w:rsid w:val="009E7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41716A"/>
    <w:rPr>
      <w:color w:val="0563C1" w:themeColor="hyperlink"/>
      <w:u w:val="single"/>
    </w:rPr>
  </w:style>
  <w:style w:type="character" w:customStyle="1" w:styleId="UnresolvedMention1">
    <w:name w:val="Unresolved Mention1"/>
    <w:basedOn w:val="DefaultParagraphFont"/>
    <w:uiPriority w:val="99"/>
    <w:semiHidden/>
    <w:unhideWhenUsed/>
    <w:rsid w:val="0041716A"/>
    <w:rPr>
      <w:color w:val="605E5C"/>
      <w:shd w:val="clear" w:color="auto" w:fill="E1DFDD"/>
    </w:rPr>
  </w:style>
  <w:style w:type="character" w:styleId="FollowedHyperlink">
    <w:name w:val="FollowedHyperlink"/>
    <w:basedOn w:val="DefaultParagraphFont"/>
    <w:uiPriority w:val="99"/>
    <w:semiHidden/>
    <w:unhideWhenUsed/>
    <w:rsid w:val="00D931E3"/>
    <w:rPr>
      <w:color w:val="954F72" w:themeColor="followedHyperlink"/>
      <w:u w:val="single"/>
    </w:rPr>
  </w:style>
  <w:style w:type="character" w:customStyle="1" w:styleId="UnresolvedMention">
    <w:name w:val="Unresolved Mention"/>
    <w:basedOn w:val="DefaultParagraphFont"/>
    <w:uiPriority w:val="99"/>
    <w:semiHidden/>
    <w:unhideWhenUsed/>
    <w:rsid w:val="004766C3"/>
    <w:rPr>
      <w:color w:val="605E5C"/>
      <w:shd w:val="clear" w:color="auto" w:fill="E1DFDD"/>
    </w:rPr>
  </w:style>
  <w:style w:type="paragraph" w:styleId="Header">
    <w:name w:val="header"/>
    <w:basedOn w:val="Normal"/>
    <w:link w:val="HeaderChar"/>
    <w:uiPriority w:val="99"/>
    <w:unhideWhenUsed/>
    <w:rsid w:val="00281CBA"/>
    <w:pPr>
      <w:tabs>
        <w:tab w:val="center" w:pos="4513"/>
        <w:tab w:val="right" w:pos="9026"/>
      </w:tabs>
    </w:pPr>
  </w:style>
  <w:style w:type="character" w:customStyle="1" w:styleId="HeaderChar">
    <w:name w:val="Header Char"/>
    <w:basedOn w:val="DefaultParagraphFont"/>
    <w:link w:val="Header"/>
    <w:uiPriority w:val="99"/>
    <w:rsid w:val="00281CBA"/>
  </w:style>
  <w:style w:type="paragraph" w:styleId="Footer">
    <w:name w:val="footer"/>
    <w:basedOn w:val="Normal"/>
    <w:link w:val="FooterChar"/>
    <w:uiPriority w:val="99"/>
    <w:unhideWhenUsed/>
    <w:rsid w:val="00281CBA"/>
    <w:pPr>
      <w:tabs>
        <w:tab w:val="center" w:pos="4513"/>
        <w:tab w:val="right" w:pos="9026"/>
      </w:tabs>
    </w:pPr>
  </w:style>
  <w:style w:type="character" w:customStyle="1" w:styleId="FooterChar">
    <w:name w:val="Footer Char"/>
    <w:basedOn w:val="DefaultParagraphFont"/>
    <w:link w:val="Footer"/>
    <w:uiPriority w:val="99"/>
    <w:rsid w:val="00281CBA"/>
  </w:style>
  <w:style w:type="paragraph" w:styleId="FootnoteText">
    <w:name w:val="footnote text"/>
    <w:basedOn w:val="Normal"/>
    <w:link w:val="FootnoteTextChar"/>
    <w:uiPriority w:val="99"/>
    <w:semiHidden/>
    <w:unhideWhenUsed/>
    <w:rsid w:val="004A55C0"/>
    <w:rPr>
      <w:sz w:val="20"/>
      <w:szCs w:val="20"/>
    </w:rPr>
  </w:style>
  <w:style w:type="character" w:customStyle="1" w:styleId="FootnoteTextChar">
    <w:name w:val="Footnote Text Char"/>
    <w:basedOn w:val="DefaultParagraphFont"/>
    <w:link w:val="FootnoteText"/>
    <w:uiPriority w:val="99"/>
    <w:semiHidden/>
    <w:rsid w:val="004A55C0"/>
    <w:rPr>
      <w:sz w:val="20"/>
      <w:szCs w:val="20"/>
    </w:rPr>
  </w:style>
  <w:style w:type="character" w:styleId="FootnoteReference">
    <w:name w:val="footnote reference"/>
    <w:basedOn w:val="DefaultParagraphFont"/>
    <w:uiPriority w:val="99"/>
    <w:semiHidden/>
    <w:unhideWhenUsed/>
    <w:rsid w:val="004A55C0"/>
    <w:rPr>
      <w:vertAlign w:val="superscript"/>
    </w:rPr>
  </w:style>
  <w:style w:type="paragraph" w:styleId="BodyText">
    <w:name w:val="Body Text"/>
    <w:basedOn w:val="Normal"/>
    <w:link w:val="BodyTextChar"/>
    <w:uiPriority w:val="1"/>
    <w:qFormat/>
    <w:rsid w:val="00CD29EF"/>
    <w:pPr>
      <w:widowControl w:val="0"/>
      <w:autoSpaceDE w:val="0"/>
      <w:autoSpaceDN w:val="0"/>
      <w:ind w:left="660"/>
    </w:pPr>
    <w:rPr>
      <w:lang w:eastAsia="en-US"/>
    </w:rPr>
  </w:style>
  <w:style w:type="character" w:customStyle="1" w:styleId="BodyTextChar">
    <w:name w:val="Body Text Char"/>
    <w:basedOn w:val="DefaultParagraphFont"/>
    <w:link w:val="BodyText"/>
    <w:uiPriority w:val="1"/>
    <w:rsid w:val="00CD29EF"/>
    <w:rPr>
      <w:rFonts w:ascii="Times New Roman" w:eastAsia="Times New Roman" w:hAnsi="Times New Roman" w:cs="Times New Roman"/>
      <w:lang w:val="en-US"/>
    </w:rPr>
  </w:style>
  <w:style w:type="paragraph" w:styleId="HTMLPreformatted">
    <w:name w:val="HTML Preformatted"/>
    <w:basedOn w:val="Normal"/>
    <w:link w:val="HTMLPreformattedChar"/>
    <w:uiPriority w:val="99"/>
    <w:unhideWhenUsed/>
    <w:rsid w:val="00CD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CD29EF"/>
    <w:rPr>
      <w:rFonts w:ascii="Courier New" w:eastAsia="Times New Roman" w:hAnsi="Courier New" w:cs="Courier New"/>
      <w:sz w:val="20"/>
      <w:szCs w:val="20"/>
      <w:lang w:val="en-US"/>
    </w:rPr>
  </w:style>
  <w:style w:type="character" w:customStyle="1" w:styleId="Heading2Char">
    <w:name w:val="Heading 2 Char"/>
    <w:basedOn w:val="DefaultParagraphFont"/>
    <w:link w:val="Heading2"/>
    <w:uiPriority w:val="9"/>
    <w:qFormat/>
    <w:rsid w:val="009C69E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9C69E9"/>
    <w:rPr>
      <w:rFonts w:asciiTheme="majorHAnsi" w:eastAsiaTheme="majorEastAsia" w:hAnsiTheme="majorHAnsi" w:cstheme="majorBidi"/>
      <w:b/>
      <w:bCs/>
      <w:color w:val="4472C4" w:themeColor="accent1"/>
      <w:sz w:val="22"/>
      <w:szCs w:val="22"/>
      <w:lang w:val="en-US"/>
    </w:rPr>
  </w:style>
  <w:style w:type="paragraph" w:customStyle="1" w:styleId="Style1">
    <w:name w:val="Style1"/>
    <w:basedOn w:val="Normal"/>
    <w:uiPriority w:val="99"/>
    <w:rsid w:val="009C69E9"/>
    <w:pPr>
      <w:spacing w:before="120" w:after="120"/>
      <w:jc w:val="center"/>
    </w:pPr>
    <w:rPr>
      <w:rFonts w:ascii="Calibri" w:hAnsi="Calibri"/>
      <w:b/>
      <w:bCs/>
      <w:caps/>
      <w:sz w:val="32"/>
      <w:szCs w:val="32"/>
      <w:lang w:eastAsia="en-US"/>
    </w:rPr>
  </w:style>
  <w:style w:type="paragraph" w:customStyle="1" w:styleId="Default">
    <w:name w:val="Default"/>
    <w:qFormat/>
    <w:rsid w:val="009C69E9"/>
    <w:pPr>
      <w:autoSpaceDE w:val="0"/>
      <w:autoSpaceDN w:val="0"/>
      <w:adjustRightInd w:val="0"/>
    </w:pPr>
    <w:rPr>
      <w:rFonts w:ascii="Times New Roman" w:eastAsia="Times New Roman" w:hAnsi="Times New Roman" w:cs="Times New Roman"/>
      <w:color w:val="000000"/>
    </w:rPr>
  </w:style>
  <w:style w:type="character" w:customStyle="1" w:styleId="nowrap">
    <w:name w:val="nowrap"/>
    <w:basedOn w:val="DefaultParagraphFont"/>
    <w:uiPriority w:val="99"/>
    <w:rsid w:val="009C69E9"/>
  </w:style>
  <w:style w:type="paragraph" w:styleId="BalloonText">
    <w:name w:val="Balloon Text"/>
    <w:basedOn w:val="Normal"/>
    <w:link w:val="BalloonTextChar"/>
    <w:uiPriority w:val="99"/>
    <w:unhideWhenUsed/>
    <w:qFormat/>
    <w:rsid w:val="009C69E9"/>
    <w:rPr>
      <w:rFonts w:ascii="Tahoma" w:eastAsiaTheme="minorEastAsia" w:hAnsi="Tahoma" w:cs="Tahoma"/>
      <w:sz w:val="16"/>
      <w:szCs w:val="16"/>
      <w:lang w:eastAsia="en-US"/>
    </w:rPr>
  </w:style>
  <w:style w:type="character" w:customStyle="1" w:styleId="BalloonTextChar">
    <w:name w:val="Balloon Text Char"/>
    <w:basedOn w:val="DefaultParagraphFont"/>
    <w:link w:val="BalloonText"/>
    <w:uiPriority w:val="99"/>
    <w:qFormat/>
    <w:rsid w:val="009C69E9"/>
    <w:rPr>
      <w:rFonts w:ascii="Tahoma" w:eastAsiaTheme="minorEastAsia" w:hAnsi="Tahoma" w:cs="Tahoma"/>
      <w:sz w:val="16"/>
      <w:szCs w:val="16"/>
      <w:lang w:val="en-US"/>
    </w:rPr>
  </w:style>
  <w:style w:type="character" w:customStyle="1" w:styleId="personname">
    <w:name w:val="person_name"/>
    <w:basedOn w:val="DefaultParagraphFont"/>
    <w:uiPriority w:val="99"/>
    <w:rsid w:val="009C69E9"/>
    <w:rPr>
      <w:rFonts w:cs="Times New Roman"/>
    </w:rPr>
  </w:style>
  <w:style w:type="character" w:customStyle="1" w:styleId="apple-converted-space">
    <w:name w:val="apple-converted-space"/>
    <w:basedOn w:val="DefaultParagraphFont"/>
    <w:rsid w:val="009C69E9"/>
    <w:rPr>
      <w:rFonts w:cs="Times New Roman"/>
    </w:rPr>
  </w:style>
  <w:style w:type="character" w:styleId="Emphasis">
    <w:name w:val="Emphasis"/>
    <w:basedOn w:val="DefaultParagraphFont"/>
    <w:uiPriority w:val="20"/>
    <w:qFormat/>
    <w:rsid w:val="009C69E9"/>
    <w:rPr>
      <w:rFonts w:cs="Times New Roman"/>
      <w:i/>
      <w:iCs/>
    </w:rPr>
  </w:style>
  <w:style w:type="character" w:customStyle="1" w:styleId="slug-vol">
    <w:name w:val="slug-vol"/>
    <w:basedOn w:val="DefaultParagraphFont"/>
    <w:rsid w:val="009C69E9"/>
  </w:style>
  <w:style w:type="character" w:customStyle="1" w:styleId="slug-issue">
    <w:name w:val="slug-issue"/>
    <w:basedOn w:val="DefaultParagraphFont"/>
    <w:rsid w:val="009C69E9"/>
  </w:style>
  <w:style w:type="character" w:customStyle="1" w:styleId="slug-pages">
    <w:name w:val="slug-pages"/>
    <w:basedOn w:val="DefaultParagraphFont"/>
    <w:rsid w:val="009C69E9"/>
  </w:style>
  <w:style w:type="character" w:styleId="CommentReference">
    <w:name w:val="annotation reference"/>
    <w:basedOn w:val="DefaultParagraphFont"/>
    <w:uiPriority w:val="99"/>
    <w:unhideWhenUsed/>
    <w:qFormat/>
    <w:rsid w:val="009C69E9"/>
    <w:rPr>
      <w:sz w:val="16"/>
      <w:szCs w:val="16"/>
    </w:rPr>
  </w:style>
  <w:style w:type="paragraph" w:styleId="CommentText">
    <w:name w:val="annotation text"/>
    <w:basedOn w:val="Normal"/>
    <w:link w:val="CommentTextChar"/>
    <w:uiPriority w:val="99"/>
    <w:unhideWhenUsed/>
    <w:qFormat/>
    <w:rsid w:val="009C69E9"/>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9C69E9"/>
    <w:rPr>
      <w:rFonts w:eastAsiaTheme="minorEastAsia"/>
      <w:sz w:val="20"/>
      <w:szCs w:val="20"/>
      <w:lang w:val="en-US"/>
    </w:rPr>
  </w:style>
  <w:style w:type="table" w:customStyle="1" w:styleId="TableGrid0">
    <w:name w:val="TableGrid"/>
    <w:rsid w:val="009C69E9"/>
    <w:rPr>
      <w:rFonts w:eastAsiaTheme="minorEastAsia"/>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BD1187"/>
    <w:pPr>
      <w:widowControl w:val="0"/>
      <w:autoSpaceDE w:val="0"/>
      <w:autoSpaceDN w:val="0"/>
    </w:pPr>
    <w:rPr>
      <w:sz w:val="22"/>
      <w:szCs w:val="22"/>
      <w:lang w:eastAsia="en-US"/>
    </w:rPr>
  </w:style>
  <w:style w:type="paragraph" w:styleId="NoSpacing">
    <w:name w:val="No Spacing"/>
    <w:uiPriority w:val="1"/>
    <w:qFormat/>
    <w:rsid w:val="003F5A69"/>
    <w:rPr>
      <w:rFonts w:ascii="Calibri" w:eastAsia="Calibri" w:hAnsi="Calibri" w:cs="Arial"/>
      <w:sz w:val="20"/>
      <w:szCs w:val="20"/>
    </w:rPr>
  </w:style>
  <w:style w:type="table" w:customStyle="1" w:styleId="TableGrid1">
    <w:name w:val="Table Grid1"/>
    <w:basedOn w:val="TableNormal"/>
    <w:next w:val="TableGrid"/>
    <w:uiPriority w:val="39"/>
    <w:rsid w:val="00E76AE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0A9B"/>
    <w:rPr>
      <w:rFonts w:asciiTheme="majorHAnsi" w:eastAsiaTheme="majorEastAsia" w:hAnsiTheme="majorHAnsi" w:cstheme="majorBidi"/>
      <w:color w:val="2F5496" w:themeColor="accent1" w:themeShade="BF"/>
      <w:sz w:val="32"/>
      <w:szCs w:val="32"/>
      <w:lang w:eastAsia="en-GB"/>
    </w:rPr>
  </w:style>
  <w:style w:type="paragraph" w:styleId="NormalWeb">
    <w:name w:val="Normal (Web)"/>
    <w:basedOn w:val="Normal"/>
    <w:uiPriority w:val="99"/>
    <w:unhideWhenUsed/>
    <w:qFormat/>
    <w:rsid w:val="007A7756"/>
    <w:pPr>
      <w:spacing w:before="100" w:beforeAutospacing="1" w:after="100" w:afterAutospacing="1"/>
    </w:pPr>
    <w:rPr>
      <w:lang w:eastAsia="en-US"/>
    </w:rPr>
  </w:style>
  <w:style w:type="character" w:customStyle="1" w:styleId="ffb">
    <w:name w:val="ffb"/>
    <w:basedOn w:val="DefaultParagraphFont"/>
    <w:rsid w:val="00F52FA5"/>
  </w:style>
  <w:style w:type="character" w:customStyle="1" w:styleId="ff10">
    <w:name w:val="ff10"/>
    <w:basedOn w:val="DefaultParagraphFont"/>
    <w:rsid w:val="00F52FA5"/>
  </w:style>
  <w:style w:type="character" w:customStyle="1" w:styleId="ffe">
    <w:name w:val="ffe"/>
    <w:basedOn w:val="DefaultParagraphFont"/>
    <w:rsid w:val="00F52FA5"/>
  </w:style>
  <w:style w:type="character" w:customStyle="1" w:styleId="ls11">
    <w:name w:val="ls11"/>
    <w:basedOn w:val="DefaultParagraphFont"/>
    <w:qFormat/>
    <w:rsid w:val="00F52FA5"/>
  </w:style>
  <w:style w:type="character" w:customStyle="1" w:styleId="fs4">
    <w:name w:val="fs4"/>
    <w:basedOn w:val="DefaultParagraphFont"/>
    <w:rsid w:val="00F52FA5"/>
  </w:style>
  <w:style w:type="character" w:customStyle="1" w:styleId="ls12">
    <w:name w:val="ls12"/>
    <w:basedOn w:val="DefaultParagraphFont"/>
    <w:rsid w:val="00F52FA5"/>
  </w:style>
  <w:style w:type="character" w:customStyle="1" w:styleId="ls6">
    <w:name w:val="ls6"/>
    <w:basedOn w:val="DefaultParagraphFont"/>
    <w:qFormat/>
    <w:rsid w:val="00F52FA5"/>
  </w:style>
  <w:style w:type="character" w:customStyle="1" w:styleId="fs1">
    <w:name w:val="fs1"/>
    <w:basedOn w:val="DefaultParagraphFont"/>
    <w:rsid w:val="00F52FA5"/>
  </w:style>
  <w:style w:type="table" w:customStyle="1" w:styleId="PlainTable21">
    <w:name w:val="Plain Table 21"/>
    <w:basedOn w:val="TableNormal"/>
    <w:uiPriority w:val="42"/>
    <w:rsid w:val="00467971"/>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
    <w:name w:val="EndNote Bibliography"/>
    <w:basedOn w:val="Normal"/>
    <w:link w:val="EndNoteBibliographyChar"/>
    <w:rsid w:val="00467971"/>
    <w:pPr>
      <w:spacing w:after="200"/>
    </w:pPr>
    <w:rPr>
      <w:rFonts w:ascii="Calibri" w:eastAsiaTheme="minorHAnsi" w:hAnsi="Calibri" w:cs="Calibri"/>
      <w:noProof/>
      <w:sz w:val="22"/>
      <w:szCs w:val="22"/>
      <w:lang w:eastAsia="en-US"/>
    </w:rPr>
  </w:style>
  <w:style w:type="character" w:customStyle="1" w:styleId="EndNoteBibliographyChar">
    <w:name w:val="EndNote Bibliography Char"/>
    <w:basedOn w:val="DefaultParagraphFont"/>
    <w:link w:val="EndNoteBibliography"/>
    <w:rsid w:val="00467971"/>
    <w:rPr>
      <w:rFonts w:ascii="Calibri" w:hAnsi="Calibri" w:cs="Calibri"/>
      <w:noProof/>
      <w:sz w:val="22"/>
      <w:szCs w:val="22"/>
    </w:rPr>
  </w:style>
  <w:style w:type="table" w:customStyle="1" w:styleId="ListTable6Colorful1">
    <w:name w:val="List Table 6 Colorful1"/>
    <w:basedOn w:val="TableNormal"/>
    <w:uiPriority w:val="51"/>
    <w:rsid w:val="00467971"/>
    <w:rPr>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unhideWhenUsed/>
    <w:qFormat/>
    <w:rsid w:val="004E5DF9"/>
    <w:pPr>
      <w:spacing w:after="160"/>
    </w:pPr>
    <w:rPr>
      <w:rFonts w:eastAsiaTheme="minorHAnsi"/>
      <w:b/>
      <w:bCs/>
    </w:rPr>
  </w:style>
  <w:style w:type="character" w:customStyle="1" w:styleId="CommentSubjectChar">
    <w:name w:val="Comment Subject Char"/>
    <w:basedOn w:val="CommentTextChar"/>
    <w:link w:val="CommentSubject"/>
    <w:uiPriority w:val="99"/>
    <w:qFormat/>
    <w:rsid w:val="004E5DF9"/>
    <w:rPr>
      <w:rFonts w:eastAsiaTheme="minorEastAsia"/>
      <w:b/>
      <w:bCs/>
      <w:sz w:val="20"/>
      <w:szCs w:val="20"/>
      <w:lang w:val="en-US"/>
    </w:rPr>
  </w:style>
  <w:style w:type="character" w:customStyle="1" w:styleId="lsb">
    <w:name w:val="lsb"/>
    <w:basedOn w:val="DefaultParagraphFont"/>
    <w:qFormat/>
    <w:rsid w:val="004E5DF9"/>
  </w:style>
  <w:style w:type="character" w:customStyle="1" w:styleId="a">
    <w:name w:val="_"/>
    <w:basedOn w:val="DefaultParagraphFont"/>
    <w:qFormat/>
    <w:rsid w:val="004E5DF9"/>
  </w:style>
  <w:style w:type="character" w:customStyle="1" w:styleId="lsf">
    <w:name w:val="lsf"/>
    <w:basedOn w:val="DefaultParagraphFont"/>
    <w:qFormat/>
    <w:rsid w:val="004E5DF9"/>
  </w:style>
  <w:style w:type="character" w:customStyle="1" w:styleId="lse">
    <w:name w:val="lse"/>
    <w:basedOn w:val="DefaultParagraphFont"/>
    <w:qFormat/>
    <w:rsid w:val="004E5DF9"/>
  </w:style>
  <w:style w:type="character" w:customStyle="1" w:styleId="ls10">
    <w:name w:val="ls10"/>
    <w:basedOn w:val="DefaultParagraphFont"/>
    <w:qFormat/>
    <w:rsid w:val="004E5DF9"/>
  </w:style>
  <w:style w:type="character" w:customStyle="1" w:styleId="ls1c">
    <w:name w:val="ls1c"/>
    <w:basedOn w:val="DefaultParagraphFont"/>
    <w:qFormat/>
    <w:rsid w:val="004E5DF9"/>
  </w:style>
  <w:style w:type="character" w:customStyle="1" w:styleId="ls21">
    <w:name w:val="ls21"/>
    <w:basedOn w:val="DefaultParagraphFont"/>
    <w:qFormat/>
    <w:rsid w:val="004E5DF9"/>
  </w:style>
  <w:style w:type="character" w:customStyle="1" w:styleId="ls1e">
    <w:name w:val="ls1e"/>
    <w:basedOn w:val="DefaultParagraphFont"/>
    <w:qFormat/>
    <w:rsid w:val="004E5DF9"/>
  </w:style>
  <w:style w:type="character" w:customStyle="1" w:styleId="ff3">
    <w:name w:val="ff3"/>
    <w:basedOn w:val="DefaultParagraphFont"/>
    <w:qFormat/>
    <w:rsid w:val="004E5DF9"/>
  </w:style>
  <w:style w:type="character" w:customStyle="1" w:styleId="ls22">
    <w:name w:val="ls22"/>
    <w:basedOn w:val="DefaultParagraphFont"/>
    <w:qFormat/>
    <w:rsid w:val="004E5DF9"/>
  </w:style>
  <w:style w:type="character" w:customStyle="1" w:styleId="ls17">
    <w:name w:val="ls17"/>
    <w:basedOn w:val="DefaultParagraphFont"/>
    <w:qFormat/>
    <w:rsid w:val="004E5DF9"/>
  </w:style>
  <w:style w:type="character" w:customStyle="1" w:styleId="lsd">
    <w:name w:val="lsd"/>
    <w:basedOn w:val="DefaultParagraphFont"/>
    <w:qFormat/>
    <w:rsid w:val="004E5DF9"/>
  </w:style>
  <w:style w:type="character" w:customStyle="1" w:styleId="ls18">
    <w:name w:val="ls18"/>
    <w:basedOn w:val="DefaultParagraphFont"/>
    <w:qFormat/>
    <w:rsid w:val="004E5DF9"/>
  </w:style>
  <w:style w:type="character" w:customStyle="1" w:styleId="ls15">
    <w:name w:val="ls15"/>
    <w:basedOn w:val="DefaultParagraphFont"/>
    <w:qFormat/>
    <w:rsid w:val="004E5DF9"/>
  </w:style>
  <w:style w:type="character" w:customStyle="1" w:styleId="ls4">
    <w:name w:val="ls4"/>
    <w:basedOn w:val="DefaultParagraphFont"/>
    <w:qFormat/>
    <w:rsid w:val="004E5DF9"/>
  </w:style>
  <w:style w:type="character" w:customStyle="1" w:styleId="ls23">
    <w:name w:val="ls23"/>
    <w:basedOn w:val="DefaultParagraphFont"/>
    <w:qFormat/>
    <w:rsid w:val="004E5DF9"/>
  </w:style>
  <w:style w:type="character" w:customStyle="1" w:styleId="ls20">
    <w:name w:val="ls20"/>
    <w:basedOn w:val="DefaultParagraphFont"/>
    <w:qFormat/>
    <w:rsid w:val="004E5DF9"/>
  </w:style>
  <w:style w:type="character" w:customStyle="1" w:styleId="ls24">
    <w:name w:val="ls24"/>
    <w:basedOn w:val="DefaultParagraphFont"/>
    <w:qFormat/>
    <w:rsid w:val="004E5DF9"/>
  </w:style>
  <w:style w:type="character" w:customStyle="1" w:styleId="ls25">
    <w:name w:val="ls25"/>
    <w:basedOn w:val="DefaultParagraphFont"/>
    <w:qFormat/>
    <w:rsid w:val="004E5DF9"/>
  </w:style>
  <w:style w:type="character" w:customStyle="1" w:styleId="ls3">
    <w:name w:val="ls3"/>
    <w:basedOn w:val="DefaultParagraphFont"/>
    <w:qFormat/>
    <w:rsid w:val="004E5DF9"/>
  </w:style>
  <w:style w:type="character" w:customStyle="1" w:styleId="ls1">
    <w:name w:val="ls1"/>
    <w:basedOn w:val="DefaultParagraphFont"/>
    <w:qFormat/>
    <w:rsid w:val="004E5DF9"/>
  </w:style>
  <w:style w:type="character" w:customStyle="1" w:styleId="ff4">
    <w:name w:val="ff4"/>
    <w:basedOn w:val="DefaultParagraphFont"/>
    <w:qFormat/>
    <w:rsid w:val="004E5DF9"/>
  </w:style>
  <w:style w:type="character" w:customStyle="1" w:styleId="ls2">
    <w:name w:val="ls2"/>
    <w:basedOn w:val="DefaultParagraphFont"/>
    <w:qFormat/>
    <w:rsid w:val="004E5DF9"/>
  </w:style>
  <w:style w:type="paragraph" w:customStyle="1" w:styleId="ListParagraph1">
    <w:name w:val="List Paragraph1"/>
    <w:basedOn w:val="Normal"/>
    <w:uiPriority w:val="34"/>
    <w:qFormat/>
    <w:rsid w:val="004E5DF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laceholderText1">
    <w:name w:val="Placeholder Text1"/>
    <w:basedOn w:val="DefaultParagraphFont"/>
    <w:uiPriority w:val="99"/>
    <w:semiHidden/>
    <w:qFormat/>
    <w:rsid w:val="004E5DF9"/>
    <w:rPr>
      <w:color w:val="808080"/>
    </w:rPr>
  </w:style>
  <w:style w:type="table" w:customStyle="1" w:styleId="PlainTable22">
    <w:name w:val="Plain Table 22"/>
    <w:basedOn w:val="TableNormal"/>
    <w:uiPriority w:val="42"/>
    <w:rsid w:val="004E5DF9"/>
    <w:rPr>
      <w:rFonts w:ascii="Times New Roman" w:eastAsia="SimSu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oot-block-node">
    <w:name w:val="root-block-node"/>
    <w:basedOn w:val="Normal"/>
    <w:rsid w:val="004E5DF9"/>
    <w:pPr>
      <w:spacing w:before="100" w:beforeAutospacing="1" w:after="100" w:afterAutospacing="1"/>
    </w:pPr>
    <w:rPr>
      <w:lang w:eastAsia="en-US"/>
    </w:rPr>
  </w:style>
  <w:style w:type="paragraph" w:customStyle="1" w:styleId="EndNoteBibliographyTitle">
    <w:name w:val="EndNote Bibliography Title"/>
    <w:basedOn w:val="Normal"/>
    <w:link w:val="EndNoteBibliographyTitleChar"/>
    <w:rsid w:val="004E5DF9"/>
    <w:pPr>
      <w:spacing w:line="259" w:lineRule="auto"/>
      <w:jc w:val="center"/>
    </w:pPr>
    <w:rPr>
      <w:rFonts w:ascii="Calibri" w:eastAsiaTheme="minorHAnsi" w:hAnsi="Calibri" w:cs="Calibri"/>
      <w:noProof/>
      <w:sz w:val="22"/>
      <w:szCs w:val="22"/>
      <w:lang w:eastAsia="en-US"/>
    </w:rPr>
  </w:style>
  <w:style w:type="character" w:customStyle="1" w:styleId="EndNoteBibliographyTitleChar">
    <w:name w:val="EndNote Bibliography Title Char"/>
    <w:basedOn w:val="DefaultParagraphFont"/>
    <w:link w:val="EndNoteBibliographyTitle"/>
    <w:rsid w:val="004E5DF9"/>
    <w:rPr>
      <w:rFonts w:ascii="Calibri" w:hAnsi="Calibri" w:cs="Calibri"/>
      <w:noProof/>
      <w:sz w:val="22"/>
      <w:szCs w:val="22"/>
    </w:rPr>
  </w:style>
  <w:style w:type="character" w:customStyle="1" w:styleId="ListParagraphChar">
    <w:name w:val="List Paragraph Char"/>
    <w:basedOn w:val="DefaultParagraphFont"/>
    <w:link w:val="ListParagraph"/>
    <w:uiPriority w:val="34"/>
    <w:rsid w:val="004E5DF9"/>
    <w:rPr>
      <w:rFonts w:ascii="Times New Roman" w:eastAsia="Times New Roman" w:hAnsi="Times New Roman" w:cs="Times New Roman"/>
      <w:lang w:eastAsia="en-GB"/>
    </w:rPr>
  </w:style>
  <w:style w:type="table" w:styleId="PlainTable2">
    <w:name w:val="Plain Table 2"/>
    <w:basedOn w:val="TableNormal"/>
    <w:uiPriority w:val="42"/>
    <w:rsid w:val="004E5DF9"/>
    <w:rPr>
      <w:rFonts w:ascii="Times New Roman" w:eastAsia="SimSu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4E5DF9"/>
    <w:pPr>
      <w:spacing w:after="200"/>
    </w:pPr>
    <w:rPr>
      <w:rFonts w:ascii="Calibri" w:eastAsia="Calibri" w:hAnsi="Calibri"/>
      <w:i/>
      <w:iCs/>
      <w:color w:val="44546A" w:themeColor="text2"/>
      <w:sz w:val="18"/>
      <w:szCs w:val="18"/>
      <w:lang w:eastAsia="en-US"/>
    </w:rPr>
  </w:style>
  <w:style w:type="paragraph" w:styleId="Bibliography">
    <w:name w:val="Bibliography"/>
    <w:basedOn w:val="Normal"/>
    <w:next w:val="Normal"/>
    <w:uiPriority w:val="37"/>
    <w:unhideWhenUsed/>
    <w:rsid w:val="004E5DF9"/>
    <w:pPr>
      <w:spacing w:after="200" w:line="276" w:lineRule="auto"/>
    </w:pPr>
    <w:rPr>
      <w:rFonts w:ascii="Calibri" w:eastAsia="Calibri" w:hAnsi="Calibri"/>
      <w:sz w:val="22"/>
      <w:szCs w:val="22"/>
      <w:lang w:eastAsia="en-US"/>
    </w:rPr>
  </w:style>
  <w:style w:type="table" w:customStyle="1" w:styleId="TableGrid2">
    <w:name w:val="Table Grid2"/>
    <w:basedOn w:val="TableNormal"/>
    <w:next w:val="TableGrid"/>
    <w:uiPriority w:val="39"/>
    <w:rsid w:val="004E5DF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E5DF9"/>
  </w:style>
  <w:style w:type="paragraph" w:styleId="TOC1">
    <w:name w:val="toc 1"/>
    <w:basedOn w:val="Normal"/>
    <w:next w:val="Normal"/>
    <w:autoRedefine/>
    <w:uiPriority w:val="39"/>
    <w:unhideWhenUsed/>
    <w:rsid w:val="004E5DF9"/>
    <w:pPr>
      <w:spacing w:line="360" w:lineRule="auto"/>
    </w:pPr>
    <w:rPr>
      <w:rFonts w:eastAsia="Calibri"/>
      <w:b/>
      <w:szCs w:val="22"/>
      <w:lang w:eastAsia="en-US"/>
    </w:rPr>
  </w:style>
  <w:style w:type="paragraph" w:styleId="TOC2">
    <w:name w:val="toc 2"/>
    <w:basedOn w:val="Normal"/>
    <w:next w:val="Normal"/>
    <w:autoRedefine/>
    <w:uiPriority w:val="39"/>
    <w:unhideWhenUsed/>
    <w:rsid w:val="004E5DF9"/>
    <w:pPr>
      <w:spacing w:line="360" w:lineRule="auto"/>
      <w:ind w:left="216"/>
    </w:pPr>
    <w:rPr>
      <w:rFonts w:eastAsia="Calibri"/>
      <w:szCs w:val="22"/>
      <w:lang w:eastAsia="en-US"/>
    </w:rPr>
  </w:style>
  <w:style w:type="paragraph" w:styleId="TOC3">
    <w:name w:val="toc 3"/>
    <w:basedOn w:val="Normal"/>
    <w:next w:val="Normal"/>
    <w:autoRedefine/>
    <w:uiPriority w:val="39"/>
    <w:unhideWhenUsed/>
    <w:rsid w:val="004E5DF9"/>
    <w:pPr>
      <w:spacing w:line="360" w:lineRule="auto"/>
      <w:ind w:left="446"/>
    </w:pPr>
    <w:rPr>
      <w:rFonts w:eastAsia="Calibri"/>
      <w:szCs w:val="22"/>
      <w:lang w:eastAsia="en-US"/>
    </w:rPr>
  </w:style>
  <w:style w:type="paragraph" w:styleId="TOCHeading">
    <w:name w:val="TOC Heading"/>
    <w:basedOn w:val="Heading1"/>
    <w:next w:val="Normal"/>
    <w:uiPriority w:val="39"/>
    <w:unhideWhenUsed/>
    <w:qFormat/>
    <w:rsid w:val="004E5DF9"/>
    <w:pPr>
      <w:keepLines w:val="0"/>
      <w:spacing w:after="60"/>
      <w:outlineLvl w:val="9"/>
    </w:pPr>
    <w:rPr>
      <w:rFonts w:ascii="Calibri Light" w:eastAsia="Times New Roman" w:hAnsi="Calibri Light" w:cs="Times New Roman"/>
      <w:b/>
      <w:bCs/>
      <w:color w:val="auto"/>
      <w:kern w:val="32"/>
      <w:lang w:eastAsia="en-US"/>
    </w:rPr>
  </w:style>
  <w:style w:type="table" w:customStyle="1" w:styleId="TableGrid3">
    <w:name w:val="Table Grid3"/>
    <w:basedOn w:val="TableNormal"/>
    <w:next w:val="TableGrid"/>
    <w:uiPriority w:val="39"/>
    <w:rsid w:val="004E5DF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underline">
    <w:name w:val="red-underline"/>
    <w:basedOn w:val="DefaultParagraphFont"/>
    <w:rsid w:val="004E5DF9"/>
  </w:style>
  <w:style w:type="table" w:customStyle="1" w:styleId="PlainTable41">
    <w:name w:val="Plain Table 41"/>
    <w:basedOn w:val="TableNormal"/>
    <w:uiPriority w:val="44"/>
    <w:rsid w:val="004E5DF9"/>
    <w:rPr>
      <w:rFonts w:ascii="Calibri" w:eastAsia="Calibri" w:hAnsi="Calibri" w:cs="Arial"/>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uiPriority w:val="42"/>
    <w:rsid w:val="004E5DF9"/>
    <w:rPr>
      <w:rFonts w:ascii="Calibri" w:eastAsia="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3644">
      <w:bodyDiv w:val="1"/>
      <w:marLeft w:val="0"/>
      <w:marRight w:val="0"/>
      <w:marTop w:val="0"/>
      <w:marBottom w:val="0"/>
      <w:divBdr>
        <w:top w:val="none" w:sz="0" w:space="0" w:color="auto"/>
        <w:left w:val="none" w:sz="0" w:space="0" w:color="auto"/>
        <w:bottom w:val="none" w:sz="0" w:space="0" w:color="auto"/>
        <w:right w:val="none" w:sz="0" w:space="0" w:color="auto"/>
      </w:divBdr>
    </w:div>
    <w:div w:id="89083819">
      <w:bodyDiv w:val="1"/>
      <w:marLeft w:val="0"/>
      <w:marRight w:val="0"/>
      <w:marTop w:val="0"/>
      <w:marBottom w:val="0"/>
      <w:divBdr>
        <w:top w:val="none" w:sz="0" w:space="0" w:color="auto"/>
        <w:left w:val="none" w:sz="0" w:space="0" w:color="auto"/>
        <w:bottom w:val="none" w:sz="0" w:space="0" w:color="auto"/>
        <w:right w:val="none" w:sz="0" w:space="0" w:color="auto"/>
      </w:divBdr>
    </w:div>
    <w:div w:id="132873219">
      <w:bodyDiv w:val="1"/>
      <w:marLeft w:val="0"/>
      <w:marRight w:val="0"/>
      <w:marTop w:val="0"/>
      <w:marBottom w:val="0"/>
      <w:divBdr>
        <w:top w:val="none" w:sz="0" w:space="0" w:color="auto"/>
        <w:left w:val="none" w:sz="0" w:space="0" w:color="auto"/>
        <w:bottom w:val="none" w:sz="0" w:space="0" w:color="auto"/>
        <w:right w:val="none" w:sz="0" w:space="0" w:color="auto"/>
      </w:divBdr>
    </w:div>
    <w:div w:id="144248880">
      <w:bodyDiv w:val="1"/>
      <w:marLeft w:val="0"/>
      <w:marRight w:val="0"/>
      <w:marTop w:val="0"/>
      <w:marBottom w:val="0"/>
      <w:divBdr>
        <w:top w:val="none" w:sz="0" w:space="0" w:color="auto"/>
        <w:left w:val="none" w:sz="0" w:space="0" w:color="auto"/>
        <w:bottom w:val="none" w:sz="0" w:space="0" w:color="auto"/>
        <w:right w:val="none" w:sz="0" w:space="0" w:color="auto"/>
      </w:divBdr>
    </w:div>
    <w:div w:id="146480336">
      <w:bodyDiv w:val="1"/>
      <w:marLeft w:val="0"/>
      <w:marRight w:val="0"/>
      <w:marTop w:val="0"/>
      <w:marBottom w:val="0"/>
      <w:divBdr>
        <w:top w:val="none" w:sz="0" w:space="0" w:color="auto"/>
        <w:left w:val="none" w:sz="0" w:space="0" w:color="auto"/>
        <w:bottom w:val="none" w:sz="0" w:space="0" w:color="auto"/>
        <w:right w:val="none" w:sz="0" w:space="0" w:color="auto"/>
      </w:divBdr>
    </w:div>
    <w:div w:id="201021885">
      <w:bodyDiv w:val="1"/>
      <w:marLeft w:val="0"/>
      <w:marRight w:val="0"/>
      <w:marTop w:val="0"/>
      <w:marBottom w:val="0"/>
      <w:divBdr>
        <w:top w:val="none" w:sz="0" w:space="0" w:color="auto"/>
        <w:left w:val="none" w:sz="0" w:space="0" w:color="auto"/>
        <w:bottom w:val="none" w:sz="0" w:space="0" w:color="auto"/>
        <w:right w:val="none" w:sz="0" w:space="0" w:color="auto"/>
      </w:divBdr>
    </w:div>
    <w:div w:id="281307968">
      <w:bodyDiv w:val="1"/>
      <w:marLeft w:val="0"/>
      <w:marRight w:val="0"/>
      <w:marTop w:val="0"/>
      <w:marBottom w:val="0"/>
      <w:divBdr>
        <w:top w:val="none" w:sz="0" w:space="0" w:color="auto"/>
        <w:left w:val="none" w:sz="0" w:space="0" w:color="auto"/>
        <w:bottom w:val="none" w:sz="0" w:space="0" w:color="auto"/>
        <w:right w:val="none" w:sz="0" w:space="0" w:color="auto"/>
      </w:divBdr>
    </w:div>
    <w:div w:id="331300729">
      <w:bodyDiv w:val="1"/>
      <w:marLeft w:val="0"/>
      <w:marRight w:val="0"/>
      <w:marTop w:val="0"/>
      <w:marBottom w:val="0"/>
      <w:divBdr>
        <w:top w:val="none" w:sz="0" w:space="0" w:color="auto"/>
        <w:left w:val="none" w:sz="0" w:space="0" w:color="auto"/>
        <w:bottom w:val="none" w:sz="0" w:space="0" w:color="auto"/>
        <w:right w:val="none" w:sz="0" w:space="0" w:color="auto"/>
      </w:divBdr>
    </w:div>
    <w:div w:id="350881917">
      <w:bodyDiv w:val="1"/>
      <w:marLeft w:val="0"/>
      <w:marRight w:val="0"/>
      <w:marTop w:val="0"/>
      <w:marBottom w:val="0"/>
      <w:divBdr>
        <w:top w:val="none" w:sz="0" w:space="0" w:color="auto"/>
        <w:left w:val="none" w:sz="0" w:space="0" w:color="auto"/>
        <w:bottom w:val="none" w:sz="0" w:space="0" w:color="auto"/>
        <w:right w:val="none" w:sz="0" w:space="0" w:color="auto"/>
      </w:divBdr>
      <w:divsChild>
        <w:div w:id="1446773924">
          <w:marLeft w:val="0"/>
          <w:marRight w:val="0"/>
          <w:marTop w:val="0"/>
          <w:marBottom w:val="0"/>
          <w:divBdr>
            <w:top w:val="none" w:sz="0" w:space="0" w:color="auto"/>
            <w:left w:val="none" w:sz="0" w:space="0" w:color="auto"/>
            <w:bottom w:val="none" w:sz="0" w:space="0" w:color="auto"/>
            <w:right w:val="none" w:sz="0" w:space="0" w:color="auto"/>
          </w:divBdr>
          <w:divsChild>
            <w:div w:id="1781534413">
              <w:marLeft w:val="0"/>
              <w:marRight w:val="0"/>
              <w:marTop w:val="0"/>
              <w:marBottom w:val="0"/>
              <w:divBdr>
                <w:top w:val="none" w:sz="0" w:space="0" w:color="auto"/>
                <w:left w:val="none" w:sz="0" w:space="0" w:color="auto"/>
                <w:bottom w:val="none" w:sz="0" w:space="0" w:color="auto"/>
                <w:right w:val="none" w:sz="0" w:space="0" w:color="auto"/>
              </w:divBdr>
              <w:divsChild>
                <w:div w:id="14428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55282">
      <w:bodyDiv w:val="1"/>
      <w:marLeft w:val="0"/>
      <w:marRight w:val="0"/>
      <w:marTop w:val="0"/>
      <w:marBottom w:val="0"/>
      <w:divBdr>
        <w:top w:val="none" w:sz="0" w:space="0" w:color="auto"/>
        <w:left w:val="none" w:sz="0" w:space="0" w:color="auto"/>
        <w:bottom w:val="none" w:sz="0" w:space="0" w:color="auto"/>
        <w:right w:val="none" w:sz="0" w:space="0" w:color="auto"/>
      </w:divBdr>
    </w:div>
    <w:div w:id="391271260">
      <w:bodyDiv w:val="1"/>
      <w:marLeft w:val="0"/>
      <w:marRight w:val="0"/>
      <w:marTop w:val="0"/>
      <w:marBottom w:val="0"/>
      <w:divBdr>
        <w:top w:val="none" w:sz="0" w:space="0" w:color="auto"/>
        <w:left w:val="none" w:sz="0" w:space="0" w:color="auto"/>
        <w:bottom w:val="none" w:sz="0" w:space="0" w:color="auto"/>
        <w:right w:val="none" w:sz="0" w:space="0" w:color="auto"/>
      </w:divBdr>
      <w:divsChild>
        <w:div w:id="1306397000">
          <w:marLeft w:val="0"/>
          <w:marRight w:val="0"/>
          <w:marTop w:val="0"/>
          <w:marBottom w:val="0"/>
          <w:divBdr>
            <w:top w:val="single" w:sz="2" w:space="0" w:color="ECEDEE"/>
            <w:left w:val="single" w:sz="2" w:space="0" w:color="ECEDEE"/>
            <w:bottom w:val="single" w:sz="2" w:space="0" w:color="ECEDEE"/>
            <w:right w:val="single" w:sz="2" w:space="0" w:color="ECEDEE"/>
          </w:divBdr>
          <w:divsChild>
            <w:div w:id="1113209151">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399519408">
      <w:bodyDiv w:val="1"/>
      <w:marLeft w:val="0"/>
      <w:marRight w:val="0"/>
      <w:marTop w:val="0"/>
      <w:marBottom w:val="0"/>
      <w:divBdr>
        <w:top w:val="none" w:sz="0" w:space="0" w:color="auto"/>
        <w:left w:val="none" w:sz="0" w:space="0" w:color="auto"/>
        <w:bottom w:val="none" w:sz="0" w:space="0" w:color="auto"/>
        <w:right w:val="none" w:sz="0" w:space="0" w:color="auto"/>
      </w:divBdr>
    </w:div>
    <w:div w:id="417676603">
      <w:bodyDiv w:val="1"/>
      <w:marLeft w:val="0"/>
      <w:marRight w:val="0"/>
      <w:marTop w:val="0"/>
      <w:marBottom w:val="0"/>
      <w:divBdr>
        <w:top w:val="none" w:sz="0" w:space="0" w:color="auto"/>
        <w:left w:val="none" w:sz="0" w:space="0" w:color="auto"/>
        <w:bottom w:val="none" w:sz="0" w:space="0" w:color="auto"/>
        <w:right w:val="none" w:sz="0" w:space="0" w:color="auto"/>
      </w:divBdr>
    </w:div>
    <w:div w:id="437870154">
      <w:bodyDiv w:val="1"/>
      <w:marLeft w:val="0"/>
      <w:marRight w:val="0"/>
      <w:marTop w:val="0"/>
      <w:marBottom w:val="0"/>
      <w:divBdr>
        <w:top w:val="none" w:sz="0" w:space="0" w:color="auto"/>
        <w:left w:val="none" w:sz="0" w:space="0" w:color="auto"/>
        <w:bottom w:val="none" w:sz="0" w:space="0" w:color="auto"/>
        <w:right w:val="none" w:sz="0" w:space="0" w:color="auto"/>
      </w:divBdr>
    </w:div>
    <w:div w:id="472138465">
      <w:bodyDiv w:val="1"/>
      <w:marLeft w:val="0"/>
      <w:marRight w:val="0"/>
      <w:marTop w:val="0"/>
      <w:marBottom w:val="0"/>
      <w:divBdr>
        <w:top w:val="none" w:sz="0" w:space="0" w:color="auto"/>
        <w:left w:val="none" w:sz="0" w:space="0" w:color="auto"/>
        <w:bottom w:val="none" w:sz="0" w:space="0" w:color="auto"/>
        <w:right w:val="none" w:sz="0" w:space="0" w:color="auto"/>
      </w:divBdr>
    </w:div>
    <w:div w:id="541135976">
      <w:bodyDiv w:val="1"/>
      <w:marLeft w:val="0"/>
      <w:marRight w:val="0"/>
      <w:marTop w:val="0"/>
      <w:marBottom w:val="0"/>
      <w:divBdr>
        <w:top w:val="none" w:sz="0" w:space="0" w:color="auto"/>
        <w:left w:val="none" w:sz="0" w:space="0" w:color="auto"/>
        <w:bottom w:val="none" w:sz="0" w:space="0" w:color="auto"/>
        <w:right w:val="none" w:sz="0" w:space="0" w:color="auto"/>
      </w:divBdr>
    </w:div>
    <w:div w:id="592590871">
      <w:bodyDiv w:val="1"/>
      <w:marLeft w:val="0"/>
      <w:marRight w:val="0"/>
      <w:marTop w:val="0"/>
      <w:marBottom w:val="0"/>
      <w:divBdr>
        <w:top w:val="none" w:sz="0" w:space="0" w:color="auto"/>
        <w:left w:val="none" w:sz="0" w:space="0" w:color="auto"/>
        <w:bottom w:val="none" w:sz="0" w:space="0" w:color="auto"/>
        <w:right w:val="none" w:sz="0" w:space="0" w:color="auto"/>
      </w:divBdr>
    </w:div>
    <w:div w:id="664481329">
      <w:bodyDiv w:val="1"/>
      <w:marLeft w:val="0"/>
      <w:marRight w:val="0"/>
      <w:marTop w:val="0"/>
      <w:marBottom w:val="0"/>
      <w:divBdr>
        <w:top w:val="none" w:sz="0" w:space="0" w:color="auto"/>
        <w:left w:val="none" w:sz="0" w:space="0" w:color="auto"/>
        <w:bottom w:val="none" w:sz="0" w:space="0" w:color="auto"/>
        <w:right w:val="none" w:sz="0" w:space="0" w:color="auto"/>
      </w:divBdr>
      <w:divsChild>
        <w:div w:id="1436439322">
          <w:marLeft w:val="375"/>
          <w:marRight w:val="0"/>
          <w:marTop w:val="0"/>
          <w:marBottom w:val="120"/>
          <w:divBdr>
            <w:top w:val="none" w:sz="0" w:space="0" w:color="auto"/>
            <w:left w:val="none" w:sz="0" w:space="0" w:color="auto"/>
            <w:bottom w:val="none" w:sz="0" w:space="0" w:color="auto"/>
            <w:right w:val="none" w:sz="0" w:space="0" w:color="auto"/>
          </w:divBdr>
        </w:div>
      </w:divsChild>
    </w:div>
    <w:div w:id="664868004">
      <w:bodyDiv w:val="1"/>
      <w:marLeft w:val="0"/>
      <w:marRight w:val="0"/>
      <w:marTop w:val="0"/>
      <w:marBottom w:val="0"/>
      <w:divBdr>
        <w:top w:val="none" w:sz="0" w:space="0" w:color="auto"/>
        <w:left w:val="none" w:sz="0" w:space="0" w:color="auto"/>
        <w:bottom w:val="none" w:sz="0" w:space="0" w:color="auto"/>
        <w:right w:val="none" w:sz="0" w:space="0" w:color="auto"/>
      </w:divBdr>
    </w:div>
    <w:div w:id="700476736">
      <w:bodyDiv w:val="1"/>
      <w:marLeft w:val="0"/>
      <w:marRight w:val="0"/>
      <w:marTop w:val="0"/>
      <w:marBottom w:val="0"/>
      <w:divBdr>
        <w:top w:val="none" w:sz="0" w:space="0" w:color="auto"/>
        <w:left w:val="none" w:sz="0" w:space="0" w:color="auto"/>
        <w:bottom w:val="none" w:sz="0" w:space="0" w:color="auto"/>
        <w:right w:val="none" w:sz="0" w:space="0" w:color="auto"/>
      </w:divBdr>
    </w:div>
    <w:div w:id="773089813">
      <w:bodyDiv w:val="1"/>
      <w:marLeft w:val="0"/>
      <w:marRight w:val="0"/>
      <w:marTop w:val="0"/>
      <w:marBottom w:val="0"/>
      <w:divBdr>
        <w:top w:val="none" w:sz="0" w:space="0" w:color="auto"/>
        <w:left w:val="none" w:sz="0" w:space="0" w:color="auto"/>
        <w:bottom w:val="none" w:sz="0" w:space="0" w:color="auto"/>
        <w:right w:val="none" w:sz="0" w:space="0" w:color="auto"/>
      </w:divBdr>
    </w:div>
    <w:div w:id="779836114">
      <w:bodyDiv w:val="1"/>
      <w:marLeft w:val="0"/>
      <w:marRight w:val="0"/>
      <w:marTop w:val="0"/>
      <w:marBottom w:val="0"/>
      <w:divBdr>
        <w:top w:val="none" w:sz="0" w:space="0" w:color="auto"/>
        <w:left w:val="none" w:sz="0" w:space="0" w:color="auto"/>
        <w:bottom w:val="none" w:sz="0" w:space="0" w:color="auto"/>
        <w:right w:val="none" w:sz="0" w:space="0" w:color="auto"/>
      </w:divBdr>
      <w:divsChild>
        <w:div w:id="267396510">
          <w:marLeft w:val="0"/>
          <w:marRight w:val="0"/>
          <w:marTop w:val="0"/>
          <w:marBottom w:val="0"/>
          <w:divBdr>
            <w:top w:val="none" w:sz="0" w:space="0" w:color="auto"/>
            <w:left w:val="none" w:sz="0" w:space="0" w:color="auto"/>
            <w:bottom w:val="none" w:sz="0" w:space="0" w:color="auto"/>
            <w:right w:val="none" w:sz="0" w:space="0" w:color="auto"/>
          </w:divBdr>
          <w:divsChild>
            <w:div w:id="932057553">
              <w:marLeft w:val="0"/>
              <w:marRight w:val="0"/>
              <w:marTop w:val="0"/>
              <w:marBottom w:val="0"/>
              <w:divBdr>
                <w:top w:val="none" w:sz="0" w:space="0" w:color="auto"/>
                <w:left w:val="none" w:sz="0" w:space="0" w:color="auto"/>
                <w:bottom w:val="none" w:sz="0" w:space="0" w:color="auto"/>
                <w:right w:val="none" w:sz="0" w:space="0" w:color="auto"/>
              </w:divBdr>
              <w:divsChild>
                <w:div w:id="4841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10948">
      <w:bodyDiv w:val="1"/>
      <w:marLeft w:val="0"/>
      <w:marRight w:val="0"/>
      <w:marTop w:val="0"/>
      <w:marBottom w:val="0"/>
      <w:divBdr>
        <w:top w:val="none" w:sz="0" w:space="0" w:color="auto"/>
        <w:left w:val="none" w:sz="0" w:space="0" w:color="auto"/>
        <w:bottom w:val="none" w:sz="0" w:space="0" w:color="auto"/>
        <w:right w:val="none" w:sz="0" w:space="0" w:color="auto"/>
      </w:divBdr>
    </w:div>
    <w:div w:id="817957343">
      <w:bodyDiv w:val="1"/>
      <w:marLeft w:val="0"/>
      <w:marRight w:val="0"/>
      <w:marTop w:val="0"/>
      <w:marBottom w:val="0"/>
      <w:divBdr>
        <w:top w:val="none" w:sz="0" w:space="0" w:color="auto"/>
        <w:left w:val="none" w:sz="0" w:space="0" w:color="auto"/>
        <w:bottom w:val="none" w:sz="0" w:space="0" w:color="auto"/>
        <w:right w:val="none" w:sz="0" w:space="0" w:color="auto"/>
      </w:divBdr>
    </w:div>
    <w:div w:id="841504390">
      <w:bodyDiv w:val="1"/>
      <w:marLeft w:val="0"/>
      <w:marRight w:val="0"/>
      <w:marTop w:val="0"/>
      <w:marBottom w:val="0"/>
      <w:divBdr>
        <w:top w:val="none" w:sz="0" w:space="0" w:color="auto"/>
        <w:left w:val="none" w:sz="0" w:space="0" w:color="auto"/>
        <w:bottom w:val="none" w:sz="0" w:space="0" w:color="auto"/>
        <w:right w:val="none" w:sz="0" w:space="0" w:color="auto"/>
      </w:divBdr>
    </w:div>
    <w:div w:id="1043670855">
      <w:bodyDiv w:val="1"/>
      <w:marLeft w:val="0"/>
      <w:marRight w:val="0"/>
      <w:marTop w:val="0"/>
      <w:marBottom w:val="0"/>
      <w:divBdr>
        <w:top w:val="none" w:sz="0" w:space="0" w:color="auto"/>
        <w:left w:val="none" w:sz="0" w:space="0" w:color="auto"/>
        <w:bottom w:val="none" w:sz="0" w:space="0" w:color="auto"/>
        <w:right w:val="none" w:sz="0" w:space="0" w:color="auto"/>
      </w:divBdr>
    </w:div>
    <w:div w:id="1113594454">
      <w:bodyDiv w:val="1"/>
      <w:marLeft w:val="0"/>
      <w:marRight w:val="0"/>
      <w:marTop w:val="0"/>
      <w:marBottom w:val="0"/>
      <w:divBdr>
        <w:top w:val="none" w:sz="0" w:space="0" w:color="auto"/>
        <w:left w:val="none" w:sz="0" w:space="0" w:color="auto"/>
        <w:bottom w:val="none" w:sz="0" w:space="0" w:color="auto"/>
        <w:right w:val="none" w:sz="0" w:space="0" w:color="auto"/>
      </w:divBdr>
    </w:div>
    <w:div w:id="1130588339">
      <w:bodyDiv w:val="1"/>
      <w:marLeft w:val="0"/>
      <w:marRight w:val="0"/>
      <w:marTop w:val="0"/>
      <w:marBottom w:val="0"/>
      <w:divBdr>
        <w:top w:val="none" w:sz="0" w:space="0" w:color="auto"/>
        <w:left w:val="none" w:sz="0" w:space="0" w:color="auto"/>
        <w:bottom w:val="none" w:sz="0" w:space="0" w:color="auto"/>
        <w:right w:val="none" w:sz="0" w:space="0" w:color="auto"/>
      </w:divBdr>
      <w:divsChild>
        <w:div w:id="1512915876">
          <w:marLeft w:val="0"/>
          <w:marRight w:val="0"/>
          <w:marTop w:val="0"/>
          <w:marBottom w:val="75"/>
          <w:divBdr>
            <w:top w:val="none" w:sz="0" w:space="0" w:color="auto"/>
            <w:left w:val="none" w:sz="0" w:space="0" w:color="auto"/>
            <w:bottom w:val="none" w:sz="0" w:space="0" w:color="auto"/>
            <w:right w:val="none" w:sz="0" w:space="0" w:color="auto"/>
          </w:divBdr>
        </w:div>
        <w:div w:id="166333069">
          <w:marLeft w:val="0"/>
          <w:marRight w:val="0"/>
          <w:marTop w:val="0"/>
          <w:marBottom w:val="75"/>
          <w:divBdr>
            <w:top w:val="none" w:sz="0" w:space="0" w:color="auto"/>
            <w:left w:val="none" w:sz="0" w:space="0" w:color="auto"/>
            <w:bottom w:val="none" w:sz="0" w:space="0" w:color="auto"/>
            <w:right w:val="none" w:sz="0" w:space="0" w:color="auto"/>
          </w:divBdr>
        </w:div>
      </w:divsChild>
    </w:div>
    <w:div w:id="1161232874">
      <w:bodyDiv w:val="1"/>
      <w:marLeft w:val="0"/>
      <w:marRight w:val="0"/>
      <w:marTop w:val="0"/>
      <w:marBottom w:val="0"/>
      <w:divBdr>
        <w:top w:val="none" w:sz="0" w:space="0" w:color="auto"/>
        <w:left w:val="none" w:sz="0" w:space="0" w:color="auto"/>
        <w:bottom w:val="none" w:sz="0" w:space="0" w:color="auto"/>
        <w:right w:val="none" w:sz="0" w:space="0" w:color="auto"/>
      </w:divBdr>
    </w:div>
    <w:div w:id="1179126835">
      <w:bodyDiv w:val="1"/>
      <w:marLeft w:val="0"/>
      <w:marRight w:val="0"/>
      <w:marTop w:val="0"/>
      <w:marBottom w:val="0"/>
      <w:divBdr>
        <w:top w:val="none" w:sz="0" w:space="0" w:color="auto"/>
        <w:left w:val="none" w:sz="0" w:space="0" w:color="auto"/>
        <w:bottom w:val="none" w:sz="0" w:space="0" w:color="auto"/>
        <w:right w:val="none" w:sz="0" w:space="0" w:color="auto"/>
      </w:divBdr>
    </w:div>
    <w:div w:id="1179584626">
      <w:bodyDiv w:val="1"/>
      <w:marLeft w:val="0"/>
      <w:marRight w:val="0"/>
      <w:marTop w:val="0"/>
      <w:marBottom w:val="0"/>
      <w:divBdr>
        <w:top w:val="none" w:sz="0" w:space="0" w:color="auto"/>
        <w:left w:val="none" w:sz="0" w:space="0" w:color="auto"/>
        <w:bottom w:val="none" w:sz="0" w:space="0" w:color="auto"/>
        <w:right w:val="none" w:sz="0" w:space="0" w:color="auto"/>
      </w:divBdr>
    </w:div>
    <w:div w:id="1182815811">
      <w:bodyDiv w:val="1"/>
      <w:marLeft w:val="0"/>
      <w:marRight w:val="0"/>
      <w:marTop w:val="0"/>
      <w:marBottom w:val="0"/>
      <w:divBdr>
        <w:top w:val="none" w:sz="0" w:space="0" w:color="auto"/>
        <w:left w:val="none" w:sz="0" w:space="0" w:color="auto"/>
        <w:bottom w:val="none" w:sz="0" w:space="0" w:color="auto"/>
        <w:right w:val="none" w:sz="0" w:space="0" w:color="auto"/>
      </w:divBdr>
    </w:div>
    <w:div w:id="1206136291">
      <w:bodyDiv w:val="1"/>
      <w:marLeft w:val="0"/>
      <w:marRight w:val="0"/>
      <w:marTop w:val="0"/>
      <w:marBottom w:val="0"/>
      <w:divBdr>
        <w:top w:val="none" w:sz="0" w:space="0" w:color="auto"/>
        <w:left w:val="none" w:sz="0" w:space="0" w:color="auto"/>
        <w:bottom w:val="none" w:sz="0" w:space="0" w:color="auto"/>
        <w:right w:val="none" w:sz="0" w:space="0" w:color="auto"/>
      </w:divBdr>
      <w:divsChild>
        <w:div w:id="1575583301">
          <w:marLeft w:val="0"/>
          <w:marRight w:val="0"/>
          <w:marTop w:val="0"/>
          <w:marBottom w:val="0"/>
          <w:divBdr>
            <w:top w:val="single" w:sz="2" w:space="0" w:color="ECEDEE"/>
            <w:left w:val="single" w:sz="2" w:space="0" w:color="ECEDEE"/>
            <w:bottom w:val="single" w:sz="2" w:space="0" w:color="ECEDEE"/>
            <w:right w:val="single" w:sz="2" w:space="0" w:color="ECEDEE"/>
          </w:divBdr>
          <w:divsChild>
            <w:div w:id="122501343">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1249728317">
      <w:bodyDiv w:val="1"/>
      <w:marLeft w:val="0"/>
      <w:marRight w:val="0"/>
      <w:marTop w:val="0"/>
      <w:marBottom w:val="0"/>
      <w:divBdr>
        <w:top w:val="none" w:sz="0" w:space="0" w:color="auto"/>
        <w:left w:val="none" w:sz="0" w:space="0" w:color="auto"/>
        <w:bottom w:val="none" w:sz="0" w:space="0" w:color="auto"/>
        <w:right w:val="none" w:sz="0" w:space="0" w:color="auto"/>
      </w:divBdr>
      <w:divsChild>
        <w:div w:id="1731539129">
          <w:marLeft w:val="0"/>
          <w:marRight w:val="0"/>
          <w:marTop w:val="0"/>
          <w:marBottom w:val="0"/>
          <w:divBdr>
            <w:top w:val="single" w:sz="2" w:space="0" w:color="ECEDEE"/>
            <w:left w:val="single" w:sz="2" w:space="0" w:color="ECEDEE"/>
            <w:bottom w:val="single" w:sz="2" w:space="0" w:color="ECEDEE"/>
            <w:right w:val="single" w:sz="2" w:space="0" w:color="ECEDEE"/>
          </w:divBdr>
          <w:divsChild>
            <w:div w:id="573317045">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1417747762">
      <w:bodyDiv w:val="1"/>
      <w:marLeft w:val="0"/>
      <w:marRight w:val="0"/>
      <w:marTop w:val="0"/>
      <w:marBottom w:val="0"/>
      <w:divBdr>
        <w:top w:val="none" w:sz="0" w:space="0" w:color="auto"/>
        <w:left w:val="none" w:sz="0" w:space="0" w:color="auto"/>
        <w:bottom w:val="none" w:sz="0" w:space="0" w:color="auto"/>
        <w:right w:val="none" w:sz="0" w:space="0" w:color="auto"/>
      </w:divBdr>
    </w:div>
    <w:div w:id="1471240354">
      <w:bodyDiv w:val="1"/>
      <w:marLeft w:val="0"/>
      <w:marRight w:val="0"/>
      <w:marTop w:val="0"/>
      <w:marBottom w:val="0"/>
      <w:divBdr>
        <w:top w:val="none" w:sz="0" w:space="0" w:color="auto"/>
        <w:left w:val="none" w:sz="0" w:space="0" w:color="auto"/>
        <w:bottom w:val="none" w:sz="0" w:space="0" w:color="auto"/>
        <w:right w:val="none" w:sz="0" w:space="0" w:color="auto"/>
      </w:divBdr>
    </w:div>
    <w:div w:id="1602421203">
      <w:bodyDiv w:val="1"/>
      <w:marLeft w:val="0"/>
      <w:marRight w:val="0"/>
      <w:marTop w:val="0"/>
      <w:marBottom w:val="0"/>
      <w:divBdr>
        <w:top w:val="none" w:sz="0" w:space="0" w:color="auto"/>
        <w:left w:val="none" w:sz="0" w:space="0" w:color="auto"/>
        <w:bottom w:val="none" w:sz="0" w:space="0" w:color="auto"/>
        <w:right w:val="none" w:sz="0" w:space="0" w:color="auto"/>
      </w:divBdr>
    </w:div>
    <w:div w:id="1666980469">
      <w:bodyDiv w:val="1"/>
      <w:marLeft w:val="0"/>
      <w:marRight w:val="0"/>
      <w:marTop w:val="0"/>
      <w:marBottom w:val="0"/>
      <w:divBdr>
        <w:top w:val="none" w:sz="0" w:space="0" w:color="auto"/>
        <w:left w:val="none" w:sz="0" w:space="0" w:color="auto"/>
        <w:bottom w:val="none" w:sz="0" w:space="0" w:color="auto"/>
        <w:right w:val="none" w:sz="0" w:space="0" w:color="auto"/>
      </w:divBdr>
    </w:div>
    <w:div w:id="1672826872">
      <w:bodyDiv w:val="1"/>
      <w:marLeft w:val="0"/>
      <w:marRight w:val="0"/>
      <w:marTop w:val="0"/>
      <w:marBottom w:val="0"/>
      <w:divBdr>
        <w:top w:val="none" w:sz="0" w:space="0" w:color="auto"/>
        <w:left w:val="none" w:sz="0" w:space="0" w:color="auto"/>
        <w:bottom w:val="none" w:sz="0" w:space="0" w:color="auto"/>
        <w:right w:val="none" w:sz="0" w:space="0" w:color="auto"/>
      </w:divBdr>
    </w:div>
    <w:div w:id="1680617357">
      <w:bodyDiv w:val="1"/>
      <w:marLeft w:val="0"/>
      <w:marRight w:val="0"/>
      <w:marTop w:val="0"/>
      <w:marBottom w:val="0"/>
      <w:divBdr>
        <w:top w:val="none" w:sz="0" w:space="0" w:color="auto"/>
        <w:left w:val="none" w:sz="0" w:space="0" w:color="auto"/>
        <w:bottom w:val="none" w:sz="0" w:space="0" w:color="auto"/>
        <w:right w:val="none" w:sz="0" w:space="0" w:color="auto"/>
      </w:divBdr>
    </w:div>
    <w:div w:id="1684744417">
      <w:bodyDiv w:val="1"/>
      <w:marLeft w:val="0"/>
      <w:marRight w:val="0"/>
      <w:marTop w:val="0"/>
      <w:marBottom w:val="0"/>
      <w:divBdr>
        <w:top w:val="none" w:sz="0" w:space="0" w:color="auto"/>
        <w:left w:val="none" w:sz="0" w:space="0" w:color="auto"/>
        <w:bottom w:val="none" w:sz="0" w:space="0" w:color="auto"/>
        <w:right w:val="none" w:sz="0" w:space="0" w:color="auto"/>
      </w:divBdr>
    </w:div>
    <w:div w:id="1736007717">
      <w:bodyDiv w:val="1"/>
      <w:marLeft w:val="0"/>
      <w:marRight w:val="0"/>
      <w:marTop w:val="0"/>
      <w:marBottom w:val="0"/>
      <w:divBdr>
        <w:top w:val="none" w:sz="0" w:space="0" w:color="auto"/>
        <w:left w:val="none" w:sz="0" w:space="0" w:color="auto"/>
        <w:bottom w:val="none" w:sz="0" w:space="0" w:color="auto"/>
        <w:right w:val="none" w:sz="0" w:space="0" w:color="auto"/>
      </w:divBdr>
    </w:div>
    <w:div w:id="1760053142">
      <w:bodyDiv w:val="1"/>
      <w:marLeft w:val="0"/>
      <w:marRight w:val="0"/>
      <w:marTop w:val="0"/>
      <w:marBottom w:val="0"/>
      <w:divBdr>
        <w:top w:val="none" w:sz="0" w:space="0" w:color="auto"/>
        <w:left w:val="none" w:sz="0" w:space="0" w:color="auto"/>
        <w:bottom w:val="none" w:sz="0" w:space="0" w:color="auto"/>
        <w:right w:val="none" w:sz="0" w:space="0" w:color="auto"/>
      </w:divBdr>
    </w:div>
    <w:div w:id="1819684223">
      <w:bodyDiv w:val="1"/>
      <w:marLeft w:val="0"/>
      <w:marRight w:val="0"/>
      <w:marTop w:val="0"/>
      <w:marBottom w:val="0"/>
      <w:divBdr>
        <w:top w:val="none" w:sz="0" w:space="0" w:color="auto"/>
        <w:left w:val="none" w:sz="0" w:space="0" w:color="auto"/>
        <w:bottom w:val="none" w:sz="0" w:space="0" w:color="auto"/>
        <w:right w:val="none" w:sz="0" w:space="0" w:color="auto"/>
      </w:divBdr>
      <w:divsChild>
        <w:div w:id="47538379">
          <w:marLeft w:val="0"/>
          <w:marRight w:val="0"/>
          <w:marTop w:val="0"/>
          <w:marBottom w:val="0"/>
          <w:divBdr>
            <w:top w:val="none" w:sz="0" w:space="0" w:color="auto"/>
            <w:left w:val="none" w:sz="0" w:space="0" w:color="auto"/>
            <w:bottom w:val="none" w:sz="0" w:space="0" w:color="auto"/>
            <w:right w:val="none" w:sz="0" w:space="0" w:color="auto"/>
          </w:divBdr>
          <w:divsChild>
            <w:div w:id="1956674384">
              <w:marLeft w:val="0"/>
              <w:marRight w:val="0"/>
              <w:marTop w:val="0"/>
              <w:marBottom w:val="0"/>
              <w:divBdr>
                <w:top w:val="single" w:sz="6" w:space="0" w:color="B8BCBE"/>
                <w:left w:val="single" w:sz="6" w:space="0" w:color="B8BCBE"/>
                <w:bottom w:val="single" w:sz="6" w:space="0" w:color="B8BCBE"/>
                <w:right w:val="single" w:sz="6" w:space="0" w:color="B8BCBE"/>
              </w:divBdr>
              <w:divsChild>
                <w:div w:id="1720932221">
                  <w:marLeft w:val="480"/>
                  <w:marRight w:val="480"/>
                  <w:marTop w:val="480"/>
                  <w:marBottom w:val="480"/>
                  <w:divBdr>
                    <w:top w:val="none" w:sz="0" w:space="0" w:color="auto"/>
                    <w:left w:val="none" w:sz="0" w:space="0" w:color="auto"/>
                    <w:bottom w:val="none" w:sz="0" w:space="0" w:color="auto"/>
                    <w:right w:val="none" w:sz="0" w:space="0" w:color="auto"/>
                  </w:divBdr>
                  <w:divsChild>
                    <w:div w:id="1311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21997">
              <w:marLeft w:val="30"/>
              <w:marRight w:val="0"/>
              <w:marTop w:val="240"/>
              <w:marBottom w:val="0"/>
              <w:divBdr>
                <w:top w:val="none" w:sz="0" w:space="0" w:color="auto"/>
                <w:left w:val="none" w:sz="0" w:space="0" w:color="auto"/>
                <w:bottom w:val="none" w:sz="0" w:space="0" w:color="auto"/>
                <w:right w:val="none" w:sz="0" w:space="0" w:color="auto"/>
              </w:divBdr>
              <w:divsChild>
                <w:div w:id="1727873543">
                  <w:marLeft w:val="0"/>
                  <w:marRight w:val="240"/>
                  <w:marTop w:val="0"/>
                  <w:marBottom w:val="0"/>
                  <w:divBdr>
                    <w:top w:val="none" w:sz="0" w:space="0" w:color="auto"/>
                    <w:left w:val="none" w:sz="0" w:space="0" w:color="auto"/>
                    <w:bottom w:val="none" w:sz="0" w:space="0" w:color="auto"/>
                    <w:right w:val="none" w:sz="0" w:space="0" w:color="auto"/>
                  </w:divBdr>
                </w:div>
                <w:div w:id="804158710">
                  <w:marLeft w:val="0"/>
                  <w:marRight w:val="240"/>
                  <w:marTop w:val="0"/>
                  <w:marBottom w:val="0"/>
                  <w:divBdr>
                    <w:top w:val="none" w:sz="0" w:space="0" w:color="auto"/>
                    <w:left w:val="none" w:sz="0" w:space="0" w:color="auto"/>
                    <w:bottom w:val="none" w:sz="0" w:space="0" w:color="auto"/>
                    <w:right w:val="none" w:sz="0" w:space="0" w:color="auto"/>
                  </w:divBdr>
                </w:div>
                <w:div w:id="5214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18121">
      <w:bodyDiv w:val="1"/>
      <w:marLeft w:val="0"/>
      <w:marRight w:val="0"/>
      <w:marTop w:val="0"/>
      <w:marBottom w:val="0"/>
      <w:divBdr>
        <w:top w:val="none" w:sz="0" w:space="0" w:color="auto"/>
        <w:left w:val="none" w:sz="0" w:space="0" w:color="auto"/>
        <w:bottom w:val="none" w:sz="0" w:space="0" w:color="auto"/>
        <w:right w:val="none" w:sz="0" w:space="0" w:color="auto"/>
      </w:divBdr>
      <w:divsChild>
        <w:div w:id="288360578">
          <w:marLeft w:val="0"/>
          <w:marRight w:val="0"/>
          <w:marTop w:val="0"/>
          <w:marBottom w:val="0"/>
          <w:divBdr>
            <w:top w:val="none" w:sz="0" w:space="0" w:color="auto"/>
            <w:left w:val="none" w:sz="0" w:space="0" w:color="auto"/>
            <w:bottom w:val="none" w:sz="0" w:space="0" w:color="auto"/>
            <w:right w:val="none" w:sz="0" w:space="0" w:color="auto"/>
          </w:divBdr>
          <w:divsChild>
            <w:div w:id="951202556">
              <w:marLeft w:val="0"/>
              <w:marRight w:val="0"/>
              <w:marTop w:val="0"/>
              <w:marBottom w:val="0"/>
              <w:divBdr>
                <w:top w:val="none" w:sz="0" w:space="0" w:color="auto"/>
                <w:left w:val="none" w:sz="0" w:space="0" w:color="auto"/>
                <w:bottom w:val="none" w:sz="0" w:space="0" w:color="auto"/>
                <w:right w:val="none" w:sz="0" w:space="0" w:color="auto"/>
              </w:divBdr>
              <w:divsChild>
                <w:div w:id="11163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37693">
      <w:bodyDiv w:val="1"/>
      <w:marLeft w:val="0"/>
      <w:marRight w:val="0"/>
      <w:marTop w:val="0"/>
      <w:marBottom w:val="0"/>
      <w:divBdr>
        <w:top w:val="none" w:sz="0" w:space="0" w:color="auto"/>
        <w:left w:val="none" w:sz="0" w:space="0" w:color="auto"/>
        <w:bottom w:val="none" w:sz="0" w:space="0" w:color="auto"/>
        <w:right w:val="none" w:sz="0" w:space="0" w:color="auto"/>
      </w:divBdr>
    </w:div>
    <w:div w:id="1884175813">
      <w:bodyDiv w:val="1"/>
      <w:marLeft w:val="0"/>
      <w:marRight w:val="0"/>
      <w:marTop w:val="0"/>
      <w:marBottom w:val="0"/>
      <w:divBdr>
        <w:top w:val="none" w:sz="0" w:space="0" w:color="auto"/>
        <w:left w:val="none" w:sz="0" w:space="0" w:color="auto"/>
        <w:bottom w:val="none" w:sz="0" w:space="0" w:color="auto"/>
        <w:right w:val="none" w:sz="0" w:space="0" w:color="auto"/>
      </w:divBdr>
      <w:divsChild>
        <w:div w:id="126357464">
          <w:marLeft w:val="0"/>
          <w:marRight w:val="0"/>
          <w:marTop w:val="0"/>
          <w:marBottom w:val="0"/>
          <w:divBdr>
            <w:top w:val="single" w:sz="2" w:space="0" w:color="ECEDEE"/>
            <w:left w:val="single" w:sz="2" w:space="0" w:color="ECEDEE"/>
            <w:bottom w:val="single" w:sz="2" w:space="0" w:color="ECEDEE"/>
            <w:right w:val="single" w:sz="2" w:space="0" w:color="ECEDEE"/>
          </w:divBdr>
          <w:divsChild>
            <w:div w:id="1557819313">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1897817496">
      <w:bodyDiv w:val="1"/>
      <w:marLeft w:val="0"/>
      <w:marRight w:val="0"/>
      <w:marTop w:val="0"/>
      <w:marBottom w:val="0"/>
      <w:divBdr>
        <w:top w:val="none" w:sz="0" w:space="0" w:color="auto"/>
        <w:left w:val="none" w:sz="0" w:space="0" w:color="auto"/>
        <w:bottom w:val="none" w:sz="0" w:space="0" w:color="auto"/>
        <w:right w:val="none" w:sz="0" w:space="0" w:color="auto"/>
      </w:divBdr>
    </w:div>
    <w:div w:id="1935167810">
      <w:bodyDiv w:val="1"/>
      <w:marLeft w:val="0"/>
      <w:marRight w:val="0"/>
      <w:marTop w:val="0"/>
      <w:marBottom w:val="0"/>
      <w:divBdr>
        <w:top w:val="none" w:sz="0" w:space="0" w:color="auto"/>
        <w:left w:val="none" w:sz="0" w:space="0" w:color="auto"/>
        <w:bottom w:val="none" w:sz="0" w:space="0" w:color="auto"/>
        <w:right w:val="none" w:sz="0" w:space="0" w:color="auto"/>
      </w:divBdr>
    </w:div>
    <w:div w:id="1987588767">
      <w:bodyDiv w:val="1"/>
      <w:marLeft w:val="0"/>
      <w:marRight w:val="0"/>
      <w:marTop w:val="0"/>
      <w:marBottom w:val="0"/>
      <w:divBdr>
        <w:top w:val="none" w:sz="0" w:space="0" w:color="auto"/>
        <w:left w:val="none" w:sz="0" w:space="0" w:color="auto"/>
        <w:bottom w:val="none" w:sz="0" w:space="0" w:color="auto"/>
        <w:right w:val="none" w:sz="0" w:space="0" w:color="auto"/>
      </w:divBdr>
      <w:divsChild>
        <w:div w:id="1800299126">
          <w:marLeft w:val="0"/>
          <w:marRight w:val="0"/>
          <w:marTop w:val="0"/>
          <w:marBottom w:val="0"/>
          <w:divBdr>
            <w:top w:val="single" w:sz="2" w:space="0" w:color="ECEDEE"/>
            <w:left w:val="single" w:sz="2" w:space="0" w:color="ECEDEE"/>
            <w:bottom w:val="single" w:sz="2" w:space="0" w:color="ECEDEE"/>
            <w:right w:val="single" w:sz="2" w:space="0" w:color="ECEDEE"/>
          </w:divBdr>
          <w:divsChild>
            <w:div w:id="1148286190">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1988633235">
      <w:bodyDiv w:val="1"/>
      <w:marLeft w:val="0"/>
      <w:marRight w:val="0"/>
      <w:marTop w:val="0"/>
      <w:marBottom w:val="0"/>
      <w:divBdr>
        <w:top w:val="none" w:sz="0" w:space="0" w:color="auto"/>
        <w:left w:val="none" w:sz="0" w:space="0" w:color="auto"/>
        <w:bottom w:val="none" w:sz="0" w:space="0" w:color="auto"/>
        <w:right w:val="none" w:sz="0" w:space="0" w:color="auto"/>
      </w:divBdr>
    </w:div>
    <w:div w:id="201911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108/S2043-052320150000007009" TargetMode="External"/><Relationship Id="rId26" Type="http://schemas.openxmlformats.org/officeDocument/2006/relationships/hyperlink" Target="https://doi.org/10.1108/JGR-08-2015-0015" TargetMode="External"/><Relationship Id="rId39" Type="http://schemas.openxmlformats.org/officeDocument/2006/relationships/hyperlink" Target="https://doi.org/10.1108/IJAIM-05-2016-0064" TargetMode="External"/><Relationship Id="rId21" Type="http://schemas.openxmlformats.org/officeDocument/2006/relationships/hyperlink" Target="https://doi.org/10.1108/JCM-11-2019-3503" TargetMode="External"/><Relationship Id="rId34" Type="http://schemas.openxmlformats.org/officeDocument/2006/relationships/hyperlink" Target="https://doi.org/10.1108/EBR-09-2019-0236" TargetMode="External"/><Relationship Id="rId42" Type="http://schemas.openxmlformats.org/officeDocument/2006/relationships/hyperlink" Target="https://doi.org/10.1108/PR-05-2017-0165" TargetMode="External"/><Relationship Id="rId47" Type="http://schemas.openxmlformats.org/officeDocument/2006/relationships/hyperlink" Target="https://doi.org/10.1108/AAAJ-11-2013-1526" TargetMode="External"/><Relationship Id="rId50" Type="http://schemas.openxmlformats.org/officeDocument/2006/relationships/hyperlink" Target="https://doi.org/10.1108/S2043-052320150000007006" TargetMode="External"/><Relationship Id="rId55" Type="http://schemas.openxmlformats.org/officeDocument/2006/relationships/hyperlink" Target="https://doi.org/10.1108/SRJ-08-2020-031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doi.org/10.1108/SRJ-02-2013-0024" TargetMode="External"/><Relationship Id="rId11" Type="http://schemas.openxmlformats.org/officeDocument/2006/relationships/header" Target="header2.xml"/><Relationship Id="rId24" Type="http://schemas.openxmlformats.org/officeDocument/2006/relationships/hyperlink" Target="https://doi.org/10.1108/S2043-052320180000014010" TargetMode="External"/><Relationship Id="rId32" Type="http://schemas.openxmlformats.org/officeDocument/2006/relationships/hyperlink" Target="https://doi.org/10.1108/IMR-12-2021-0375" TargetMode="External"/><Relationship Id="rId37" Type="http://schemas.openxmlformats.org/officeDocument/2006/relationships/hyperlink" Target="https://doi.org/10.1108/CG-10-2020-0472" TargetMode="External"/><Relationship Id="rId40" Type="http://schemas.openxmlformats.org/officeDocument/2006/relationships/hyperlink" Target="https://doi.org/10.1108/SRJ-11-2017-0255" TargetMode="External"/><Relationship Id="rId45" Type="http://schemas.openxmlformats.org/officeDocument/2006/relationships/hyperlink" Target="https://doi.org/10.1108/JOSM-07-2021-0243" TargetMode="External"/><Relationship Id="rId53" Type="http://schemas.openxmlformats.org/officeDocument/2006/relationships/hyperlink" Target="https://doi.org/10.1108/IJQSS-12-2017-0117"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108/CCIJ-02-2020-0047" TargetMode="External"/><Relationship Id="rId4" Type="http://schemas.openxmlformats.org/officeDocument/2006/relationships/settings" Target="settings.xml"/><Relationship Id="rId9" Type="http://schemas.openxmlformats.org/officeDocument/2006/relationships/hyperlink" Target="mailto:faizahashmi16@yahoo.com" TargetMode="External"/><Relationship Id="rId14" Type="http://schemas.openxmlformats.org/officeDocument/2006/relationships/header" Target="header3.xml"/><Relationship Id="rId22" Type="http://schemas.openxmlformats.org/officeDocument/2006/relationships/hyperlink" Target="https://doi.org/10.1108/MD-01-2021-0024" TargetMode="External"/><Relationship Id="rId27" Type="http://schemas.openxmlformats.org/officeDocument/2006/relationships/hyperlink" Target="https://doi.org/10.1108/JCOM-02-2017-0020" TargetMode="External"/><Relationship Id="rId30" Type="http://schemas.openxmlformats.org/officeDocument/2006/relationships/hyperlink" Target="https://doi.org/10.1108/S2043-052320180000013006" TargetMode="External"/><Relationship Id="rId35" Type="http://schemas.openxmlformats.org/officeDocument/2006/relationships/hyperlink" Target="https://doi.org/10.1108/IJAIM-03-2019-0041" TargetMode="External"/><Relationship Id="rId43" Type="http://schemas.openxmlformats.org/officeDocument/2006/relationships/hyperlink" Target="https://doi.org/10.1108/QRAM-07-2020-0120" TargetMode="External"/><Relationship Id="rId48" Type="http://schemas.openxmlformats.org/officeDocument/2006/relationships/hyperlink" Target="https://doi.org/10.1108/IJOPM-10-2020-0698"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doi.org/10.1108/S1548-643520210000018008"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doi.org/10.1080/07350015.1996.10524641" TargetMode="External"/><Relationship Id="rId33" Type="http://schemas.openxmlformats.org/officeDocument/2006/relationships/hyperlink" Target="https://doi.org/10.1108/JKM-04-2018-0267" TargetMode="External"/><Relationship Id="rId38" Type="http://schemas.openxmlformats.org/officeDocument/2006/relationships/hyperlink" Target="https://doi.org/10.1108/SAMPJ-05-2017-0043" TargetMode="External"/><Relationship Id="rId46" Type="http://schemas.openxmlformats.org/officeDocument/2006/relationships/hyperlink" Target="https://doi.org/10.1108/IJBM-04-2020-0195" TargetMode="External"/><Relationship Id="rId20" Type="http://schemas.openxmlformats.org/officeDocument/2006/relationships/hyperlink" Target="https://doi.org/10.1108/srj-06-2021-0256" TargetMode="External"/><Relationship Id="rId41" Type="http://schemas.openxmlformats.org/officeDocument/2006/relationships/hyperlink" Target="https://doi.org/10.1108/S2043-905920180000012009" TargetMode="External"/><Relationship Id="rId54" Type="http://schemas.openxmlformats.org/officeDocument/2006/relationships/hyperlink" Target="https://doi.org/10.1108/CCIJ-04-2018-004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doi.org/10.1108/MD-12-2020-1584" TargetMode="External"/><Relationship Id="rId28" Type="http://schemas.openxmlformats.org/officeDocument/2006/relationships/hyperlink" Target="https://doi.org/10.1108/aaaj-11-2019-4239" TargetMode="External"/><Relationship Id="rId36" Type="http://schemas.openxmlformats.org/officeDocument/2006/relationships/hyperlink" Target="https://doi.org/10.2307/1164588" TargetMode="External"/><Relationship Id="rId49" Type="http://schemas.openxmlformats.org/officeDocument/2006/relationships/hyperlink" Target="https://doi.org/10.1108/S2043-052320170000011004" TargetMode="External"/><Relationship Id="rId57" Type="http://schemas.openxmlformats.org/officeDocument/2006/relationships/glossaryDocument" Target="glossary/document.xml"/><Relationship Id="rId10" Type="http://schemas.openxmlformats.org/officeDocument/2006/relationships/header" Target="header1.xml"/><Relationship Id="rId31" Type="http://schemas.openxmlformats.org/officeDocument/2006/relationships/hyperlink" Target="https://doi.org/10.1108/CG-01-2020-0036" TargetMode="External"/><Relationship Id="rId44" Type="http://schemas.openxmlformats.org/officeDocument/2006/relationships/hyperlink" Target="https://doi.org/10.1108/SRJ-06-2016-0103" TargetMode="External"/><Relationship Id="rId52" Type="http://schemas.openxmlformats.org/officeDocument/2006/relationships/hyperlink" Target="https://doi.org/10.1080/09720510.2020.183346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249185F1F6E948BCCD8EF32FCE6656"/>
        <w:category>
          <w:name w:val="General"/>
          <w:gallery w:val="placeholder"/>
        </w:category>
        <w:types>
          <w:type w:val="bbPlcHdr"/>
        </w:types>
        <w:behaviors>
          <w:behavior w:val="content"/>
        </w:behaviors>
        <w:guid w:val="{2F105C7E-C2A6-9E47-AAAB-3B505D867750}"/>
      </w:docPartPr>
      <w:docPartBody>
        <w:p w:rsidR="009E0234" w:rsidRDefault="000C60D8" w:rsidP="000C60D8">
          <w:pPr>
            <w:pStyle w:val="5A249185F1F6E948BCCD8EF32FCE6656"/>
          </w:pPr>
          <w:r>
            <w:rPr>
              <w:caps/>
              <w:color w:val="FFFFFF" w:themeColor="background1"/>
            </w:rPr>
            <w:t>[Author Name]</w:t>
          </w:r>
        </w:p>
      </w:docPartBody>
    </w:docPart>
    <w:docPart>
      <w:docPartPr>
        <w:name w:val="A9703EC97CDE4AE18FE640DEF85A99EC"/>
        <w:category>
          <w:name w:val="General"/>
          <w:gallery w:val="placeholder"/>
        </w:category>
        <w:types>
          <w:type w:val="bbPlcHdr"/>
        </w:types>
        <w:behaviors>
          <w:behavior w:val="content"/>
        </w:behaviors>
        <w:guid w:val="{C9B82084-4B0B-4A9A-A610-CC9B0DCB7677}"/>
      </w:docPartPr>
      <w:docPartBody>
        <w:p w:rsidR="00CA6367" w:rsidRDefault="009E0234" w:rsidP="009E0234">
          <w:pPr>
            <w:pStyle w:val="A9703EC97CDE4AE18FE640DEF85A99EC"/>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arter">
    <w:altName w:val="Samsung Sharp Sans"/>
    <w:charset w:val="00"/>
    <w:family w:val="roman"/>
    <w:pitch w:val="variable"/>
    <w:sig w:usb0="00000001" w:usb1="1000204A" w:usb2="00000000" w:usb3="00000000" w:csb0="00000011" w:csb1="00000000"/>
  </w:font>
  <w:font w:name="Merriweather Light">
    <w:altName w:val="Courier New"/>
    <w:panose1 w:val="00000400000000000000"/>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erriweather">
    <w:altName w:val="Courier New"/>
    <w:panose1 w:val="00000500000000000000"/>
    <w:charset w:val="00"/>
    <w:family w:val="auto"/>
    <w:pitch w:val="variable"/>
    <w:sig w:usb0="20000207" w:usb1="00000002" w:usb2="00000000" w:usb3="00000000" w:csb0="00000197" w:csb1="00000000"/>
  </w:font>
  <w:font w:name="TimesNewRomanPS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E3"/>
    <w:rsid w:val="000C60D8"/>
    <w:rsid w:val="002A570A"/>
    <w:rsid w:val="00472236"/>
    <w:rsid w:val="00560E8B"/>
    <w:rsid w:val="009E0234"/>
    <w:rsid w:val="00C71FD7"/>
    <w:rsid w:val="00CA6367"/>
    <w:rsid w:val="00D148E3"/>
    <w:rsid w:val="00ED0104"/>
    <w:rsid w:val="00F35F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3F69D19C0ED04FB6AEBE534E74FB00">
    <w:name w:val="CD3F69D19C0ED04FB6AEBE534E74FB00"/>
    <w:rsid w:val="00D148E3"/>
  </w:style>
  <w:style w:type="paragraph" w:customStyle="1" w:styleId="5A249185F1F6E948BCCD8EF32FCE6656">
    <w:name w:val="5A249185F1F6E948BCCD8EF32FCE6656"/>
    <w:rsid w:val="000C60D8"/>
  </w:style>
  <w:style w:type="paragraph" w:customStyle="1" w:styleId="D18840F3FF1342B786BCED4F6B1739F3">
    <w:name w:val="D18840F3FF1342B786BCED4F6B1739F3"/>
    <w:rsid w:val="009E0234"/>
    <w:pPr>
      <w:spacing w:after="160" w:line="259" w:lineRule="auto"/>
    </w:pPr>
    <w:rPr>
      <w:sz w:val="22"/>
      <w:szCs w:val="22"/>
      <w:lang w:eastAsia="en-US"/>
    </w:rPr>
  </w:style>
  <w:style w:type="paragraph" w:customStyle="1" w:styleId="91694278EC1B4401986E43AB70B0EEBC">
    <w:name w:val="91694278EC1B4401986E43AB70B0EEBC"/>
    <w:rsid w:val="009E0234"/>
    <w:pPr>
      <w:spacing w:after="160" w:line="259" w:lineRule="auto"/>
    </w:pPr>
    <w:rPr>
      <w:sz w:val="22"/>
      <w:szCs w:val="22"/>
      <w:lang w:eastAsia="en-US"/>
    </w:rPr>
  </w:style>
  <w:style w:type="paragraph" w:customStyle="1" w:styleId="A9703EC97CDE4AE18FE640DEF85A99EC">
    <w:name w:val="A9703EC97CDE4AE18FE640DEF85A99EC"/>
    <w:rsid w:val="009E0234"/>
    <w:pPr>
      <w:spacing w:after="160" w:line="259" w:lineRule="auto"/>
    </w:pPr>
    <w:rPr>
      <w:sz w:val="22"/>
      <w:szCs w:val="22"/>
      <w:lang w:eastAsia="en-US"/>
    </w:rPr>
  </w:style>
  <w:style w:type="paragraph" w:customStyle="1" w:styleId="85F1DD434C0D409C8EC92A1679137422">
    <w:name w:val="85F1DD434C0D409C8EC92A1679137422"/>
    <w:rsid w:val="00560E8B"/>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F7B97-8E22-4F1E-BB0F-E0D2A90DB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12</Pages>
  <Words>25066</Words>
  <Characters>142881</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Journal of Social Sciences Review | Vol. 2 no. 4 (Fall 2022) | p-ISSN: 2789-441X | e-ISSN: 2789-4428</dc:creator>
  <cp:keywords/>
  <dc:description/>
  <cp:lastModifiedBy>Windows User</cp:lastModifiedBy>
  <cp:revision>169</cp:revision>
  <cp:lastPrinted>2022-09-11T12:07:00Z</cp:lastPrinted>
  <dcterms:created xsi:type="dcterms:W3CDTF">2022-09-11T12:07:00Z</dcterms:created>
  <dcterms:modified xsi:type="dcterms:W3CDTF">2023-01-10T20:19:00Z</dcterms:modified>
</cp:coreProperties>
</file>